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01D3B">
        <w:rPr>
          <w:rFonts w:ascii="Times New Roman" w:hAnsi="Times New Roman"/>
          <w:bCs/>
          <w:sz w:val="24"/>
          <w:szCs w:val="24"/>
        </w:rPr>
        <w:t>08.11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D14C8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001D3B">
        <w:rPr>
          <w:rFonts w:ascii="Times New Roman" w:hAnsi="Times New Roman"/>
          <w:bCs/>
          <w:sz w:val="24"/>
          <w:szCs w:val="24"/>
        </w:rPr>
        <w:t>6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2022 год и на плановый период 2023 и 2024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536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2022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2023 и 2024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2134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2022 год и на плановый период 2023 и 2024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2022 год и на плановый период 2023 и 2024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lastRenderedPageBreak/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001D3B">
        <w:rPr>
          <w:rFonts w:ascii="Times New Roman" w:hAnsi="Times New Roman" w:cs="Times New Roman"/>
        </w:rPr>
        <w:t>08.11</w:t>
      </w:r>
      <w:r w:rsidR="00F20E5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001D3B">
        <w:rPr>
          <w:rFonts w:ascii="Times New Roman" w:hAnsi="Times New Roman" w:cs="Times New Roman"/>
        </w:rPr>
        <w:t>6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D14C8A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Пролетар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сформированы с учетом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положений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Послания Президента Российской Федерации Федеральному Собранию Росс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ийской Федерации от 21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</w:t>
      </w:r>
      <w:proofErr w:type="gramEnd"/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направлений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 год и на плановый период 2023 и 2024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7E24" w:rsidRDefault="00657E24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Приоритетом бюджетной политики в 2020 году являлось финансовое обеспечение расходов, связанных с ликвидацией </w:t>
      </w:r>
      <w:proofErr w:type="spellStart"/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оказанием мер социальной поддержки гражданам, реализацией мер поддержки бизнеса, решением приоритетных задач, поставленных Губернатором Ростовской области и 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B51" w:rsidRDefault="00905B5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Обеспечено выполнение Плана первоочередных мероприятий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обеспечению социальной стабильности и устойчивого развития экономики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распространения </w:t>
      </w:r>
      <w:proofErr w:type="spellStart"/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(COVID-2019), утвержденного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Пролетарского сельского поселения от 10</w:t>
      </w:r>
      <w:r w:rsidRPr="00905B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.04.2020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34.</w:t>
      </w:r>
    </w:p>
    <w:p w:rsidR="00905B51" w:rsidRDefault="002971D5" w:rsidP="002971D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Учитывая особенности исполнения бюджета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Красносулинмского</w:t>
      </w:r>
      <w:proofErr w:type="spellEnd"/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бюджет поселения)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2020 году,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целом сложилась положительная динамика показателей. По сравнению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2019 годом рост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собственным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доходам составил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15,2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процента,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1 296,9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рублей, по расходам – 18,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1 955,1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рублей. Превышение расходов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 доходами бюджета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составило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314,8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рублей. Источником пок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рытия бюджетного дефицита являло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изменение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остатков средств по учету средств бюджета</w:t>
      </w:r>
      <w:r w:rsidR="00125B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297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8BE" w:rsidRDefault="004A28BE" w:rsidP="004A28B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2020 году удалось достичь положительных итогов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собственным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8BE" w:rsidRDefault="004A28BE" w:rsidP="004A28B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Наряду с федеральными</w:t>
      </w:r>
      <w:r w:rsid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региональными</w:t>
      </w:r>
      <w:r w:rsidRPr="004A2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мерами</w:t>
      </w:r>
      <w:r w:rsidR="00CA0449" w:rsidRPr="00CA0449">
        <w:t xml:space="preserve"> </w:t>
      </w:r>
      <w:r w:rsidR="00CA0449" w:rsidRP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 на местном уровне для пострадавших отраслей</w:t>
      </w:r>
      <w:r w:rsid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449" w:rsidRP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предоставлены льготы по земельному налогу собственникам гостиниц.</w:t>
      </w:r>
    </w:p>
    <w:p w:rsidR="00CA0449" w:rsidRDefault="00CA0449" w:rsidP="004A28B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Реализован обширный перечень неналоговых мер поддержки: отсрочки по арендным платежам и уменьшение размеров арендной платы.</w:t>
      </w:r>
    </w:p>
    <w:p w:rsidR="00451E21" w:rsidRP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Новацией стала передача в бюджеты муниципальных образований:</w:t>
      </w:r>
    </w:p>
    <w:p w:rsidR="00451E21" w:rsidRP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транспортного налога в полном объеме, в целях пополнения муниципальных дорожных фондов и повышения заинтересованности органов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 его собираемости;</w:t>
      </w:r>
    </w:p>
    <w:p w:rsid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нормативов отчислений в бюджеты муниципальных образований налога,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взимаемого в связи с применением упрощенной системы налогообложения, в размере 15 процентов.</w:t>
      </w:r>
    </w:p>
    <w:p w:rsidR="00451E21" w:rsidRDefault="00451E21" w:rsidP="00451E2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бюджетных расходов приоритетным направлением являлось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расходов на социальную сферу. Расходы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отрасли культуры, спорта, социальную политику составили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20,5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расходов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2 629,9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Pr="00451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451E21" w:rsidRDefault="00363A6A" w:rsidP="00363A6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Просроченная задолженность по обязательствам за счет средств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отсутствует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3A2" w:rsidRDefault="00363A6A" w:rsidP="006B356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Долговая политика Пролетарского сельского поселения</w:t>
      </w:r>
      <w:r w:rsidR="00CA04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2020 году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нацелена на обеспечение устойчивости и сбалансированности бюджета поселения.</w:t>
      </w:r>
    </w:p>
    <w:p w:rsidR="00363A6A" w:rsidRPr="00363A6A" w:rsidRDefault="00363A6A" w:rsidP="00363A6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период I полугодия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 бюджета поселения по доходам составило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2 856,3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21,0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 к годовому плану. Расходы исполнены в сумме 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4 853,0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2,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к годовому плану.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исполнения дефицит составил 1 996,7 тыс. рублей.</w:t>
      </w:r>
    </w:p>
    <w:p w:rsidR="00C263A2" w:rsidRDefault="00363A6A" w:rsidP="00363A6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Собственные доходы бюджета поселения по итогам I полугодия 202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исполнены в объеме </w:t>
      </w:r>
      <w:r w:rsid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1 862,3</w:t>
      </w:r>
      <w:r w:rsidRPr="00363A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E70A35" w:rsidRPr="00E70A35" w:rsidRDefault="00E70A35" w:rsidP="00E70A3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Уточнены отдельные положения Областного закона от 10.05.2012 № 843-ЗС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региональных налогах и некоторых вопросах налогообложения в Ростовской области» в целях урегулирования вопросов предоставления физическим лицам льгот в </w:t>
      </w:r>
      <w:proofErr w:type="spellStart"/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беззаявительном</w:t>
      </w:r>
      <w:proofErr w:type="spellEnd"/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порядке при наличии нескольких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объектов налогообложения по аналогии с федеральными льготами по налогу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имущество физических лиц и земельному налогу.</w:t>
      </w:r>
    </w:p>
    <w:p w:rsidR="00AA63A6" w:rsidRDefault="00AA63A6" w:rsidP="00C833C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Проведена оценка налоговых расходов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обусловленных установленными местными налоговыми льготами. Она осуществлялась с учетом положений постановления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 от 1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9.11.2019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122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A6A" w:rsidRDefault="00C833C9" w:rsidP="00C833C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</w:t>
      </w:r>
      <w:proofErr w:type="gramStart"/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оценки налоговых расходов, проведенной в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все налоговые льготы носят</w:t>
      </w:r>
      <w:proofErr w:type="gramEnd"/>
      <w:r w:rsidRPr="00C8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социальный характер и признаны эффективными.</w:t>
      </w:r>
    </w:p>
    <w:p w:rsidR="00AA63A6" w:rsidRDefault="00AA63A6" w:rsidP="00C833C9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точечных задач в области бюджетной и налоговой политики 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AA6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FE6012" w:rsidRDefault="00FE6012" w:rsidP="00FE601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2022 год и на плановый период 2023 и 2024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и налоговая политика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 год и на плановый период 2023 и 2024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сохранит свою направленность на 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целей и решение задач, 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0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определенных у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</w:t>
      </w:r>
      <w:r w:rsidR="006500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07.05.2018 № 204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от 21.07.2020 №474,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Посланием Президента Российской Федерации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Федеральному Собранию Российской Федерации от 21.04.2021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C10" w:rsidRP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главных национальных целей развития страны на указанный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591BEF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направления бюджетной и налоговой политики сохраняют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преемственность задач, определенных на 2021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мере стабилизации экономической и санитарно-эпидемиологической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ситуации основной целью является постепенный возврат к налоговому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финансовому климату, существовавшему до введения ограничительных мер</w:t>
      </w:r>
      <w:r w:rsid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2022 год и на плановый период 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2024 годов сформированы в благоприятных условиях, обусловленных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увеличением поступлений налоговых и неналоговых доходов в 2021 году и опережающими темпами роста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0E3E90" w:rsidRPr="000E3E90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Сохраняются требования по соблюдению бюджетного законодательства,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предельного уровня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долга и бюджетного дефицита, недопущению образования кредиторской задолженности.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необходимо обеспечить качественное планирование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эффективное его исполнение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EF" w:rsidRDefault="00591BE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1D3B" w:rsidRDefault="00001D3B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2022 год и на плановый период 2023 и 2024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489B" w:rsidRDefault="00232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Налоговая политика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>на 2022 год и на плановый период 2023 и 2024 годов</w:t>
      </w:r>
      <w:r w:rsidR="000E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>ориентирована на развитие доходного потенциала</w:t>
      </w:r>
      <w:r w:rsidR="000E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89B"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 и основывается</w:t>
      </w:r>
      <w:r w:rsidR="000E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E90" w:rsidRPr="000E3E90">
        <w:rPr>
          <w:rFonts w:ascii="Times New Roman" w:hAnsi="Times New Roman" w:cs="Times New Roman"/>
          <w:sz w:val="24"/>
          <w:szCs w:val="24"/>
          <w:lang w:eastAsia="ru-RU"/>
        </w:rPr>
        <w:t xml:space="preserve">на следующих приоритетах: </w:t>
      </w:r>
    </w:p>
    <w:p w:rsidR="0023223D" w:rsidRPr="0023223D" w:rsidRDefault="00232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23D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2F4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существующего </w:t>
      </w:r>
      <w:r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489B" w:rsidRDefault="0023223D" w:rsidP="002322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2. Стабилизация сектора индивидуального предпринимательства как существенно пострадавшего от распространения новой </w:t>
      </w:r>
      <w:proofErr w:type="spellStart"/>
      <w:r w:rsidRPr="0023223D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23D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F489B" w:rsidRPr="002F489B" w:rsidRDefault="002F489B" w:rsidP="002F48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>. Содействие занятости населения и создание благоприятных налоговых условий, способствующих развитию предпринимательской активности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 xml:space="preserve">и легализации бизнеса </w:t>
      </w:r>
      <w:proofErr w:type="spellStart"/>
      <w:r w:rsidRPr="002F489B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2F489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2F489B" w:rsidRDefault="002F489B" w:rsidP="002F48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>. Обеспечение комфортных налоговых условий для отдельных категорий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89B">
        <w:rPr>
          <w:rFonts w:ascii="Times New Roman" w:hAnsi="Times New Roman" w:cs="Times New Roman"/>
          <w:sz w:val="24"/>
          <w:szCs w:val="24"/>
          <w:lang w:eastAsia="ru-RU"/>
        </w:rPr>
        <w:t>населения, нуждающихся в государственной поддержке.</w:t>
      </w:r>
    </w:p>
    <w:p w:rsidR="002F489B" w:rsidRDefault="002A36E8" w:rsidP="002A36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трехлетней перспективе будет продолжена работа по укреплению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доходной базы 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наращивания стабильных доходных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источников и мобилизации в 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резервов.</w:t>
      </w:r>
    </w:p>
    <w:p w:rsidR="002F489B" w:rsidRDefault="002F489B" w:rsidP="002F48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5F45" w:rsidRDefault="006B5F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целей, предусмотренных указами Президента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07.05.2018 № 204, от 21.07.2020 № 474, Посланием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едеральному Собранию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Федерации от 21.04.2021, 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A87148" w:rsidRDefault="006B5F45" w:rsidP="00A8714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5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направлено на здоровье и социальное благополучие граждан, снижение уровня бедности.</w:t>
      </w:r>
    </w:p>
    <w:p w:rsidR="001506EC" w:rsidRDefault="001506EC" w:rsidP="00A8714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0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повышения уровня доходов граждан планируется уточнение расходов на оплату труда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 с показателем «среднемесячная начисленная заработная плата</w:t>
      </w:r>
      <w:proofErr w:type="gramEnd"/>
      <w:r w:rsidRPr="00150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6B5F45" w:rsidRDefault="00A87148" w:rsidP="00A8714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планируемым внесением изменений в статью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19.06.2000 № 82-ФЗ «О минимальном </w:t>
      </w:r>
      <w:proofErr w:type="gramStart"/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A87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EEB" w:rsidRDefault="00B53EEB" w:rsidP="00B53EE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</w:t>
      </w:r>
      <w:r w:rsidR="00986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 Пролетарского сельского поселения</w:t>
      </w:r>
      <w:proofErr w:type="gramEnd"/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</w:t>
      </w:r>
      <w:r w:rsidR="00986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бюджетных</w:t>
      </w:r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учреждений, на которые не распространяется действие указов Президента Российской Федерации 2012 года, будет</w:t>
      </w:r>
      <w:r w:rsidR="00986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предусмотрена индексация расходов на прогнозный уровень инфляции</w:t>
      </w:r>
      <w:r w:rsid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0E1" w:rsidRDefault="009330E1" w:rsidP="009330E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меры социальной поддержки граждан и повышение качества услуг в отраслях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0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социальной сферы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2022 - 2024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6EC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данной сфере предусмотрена 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проведение физкультурных и спортивных мероприятий в Пролетарском сельском поселении</w:t>
      </w:r>
      <w:r w:rsidR="001506E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а так же подготовка спортсменов Пролетарского сельского поселения к участию в районных и областных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приобретение наградной продукции и </w:t>
      </w:r>
      <w:r w:rsidR="007220B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спортивного инвентаря.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</w:t>
      </w: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</w:t>
      </w:r>
      <w:proofErr w:type="gram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На 2022 год и на плановый период 2023 и 2024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дезинфекци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C1187">
        <w:rPr>
          <w:rFonts w:ascii="Times New Roman" w:hAnsi="Times New Roman" w:cs="Times New Roman"/>
          <w:sz w:val="24"/>
          <w:szCs w:val="24"/>
          <w:lang w:eastAsia="ru-RU"/>
        </w:rPr>
        <w:t xml:space="preserve"> и лабораторный контроль питьевой воды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1C2" w:rsidRDefault="00B771C2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Планируется в 2022 году строительство газопровода в х. Прохоровка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Ростовской области.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 и применением мер ответственности к нарушителям. 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Default="00CE3FB4" w:rsidP="00CE3FB4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D3B" w:rsidRDefault="00001D3B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1D3B" w:rsidRDefault="00001D3B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1D3B" w:rsidRDefault="00001D3B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отношении обеспечения контроля финансовым органом при 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Кроме того, с 2022 года финансовые органы будут осуществлять </w:t>
      </w:r>
      <w:proofErr w:type="gramStart"/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BF0807" w:rsidRDefault="00BF0807" w:rsidP="002322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0A" w:rsidRDefault="00A3440A">
      <w:pPr>
        <w:spacing w:after="0" w:line="240" w:lineRule="auto"/>
      </w:pPr>
      <w:r>
        <w:separator/>
      </w:r>
    </w:p>
  </w:endnote>
  <w:endnote w:type="continuationSeparator" w:id="0">
    <w:p w:rsidR="00A3440A" w:rsidRDefault="00A3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0A" w:rsidRDefault="00A3440A">
      <w:pPr>
        <w:spacing w:after="0" w:line="240" w:lineRule="auto"/>
      </w:pPr>
      <w:r>
        <w:separator/>
      </w:r>
    </w:p>
  </w:footnote>
  <w:footnote w:type="continuationSeparator" w:id="0">
    <w:p w:rsidR="00A3440A" w:rsidRDefault="00A3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D3B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59E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410E0"/>
    <w:rsid w:val="003454D0"/>
    <w:rsid w:val="00352176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A0A75"/>
    <w:rsid w:val="003A5078"/>
    <w:rsid w:val="003A55C9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6844"/>
    <w:rsid w:val="005731AA"/>
    <w:rsid w:val="00577A7D"/>
    <w:rsid w:val="00577D68"/>
    <w:rsid w:val="0058069D"/>
    <w:rsid w:val="00591BEF"/>
    <w:rsid w:val="005A090E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652B"/>
    <w:rsid w:val="007B7FDC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F0753"/>
    <w:rsid w:val="008F1811"/>
    <w:rsid w:val="008F3CBC"/>
    <w:rsid w:val="008F5D81"/>
    <w:rsid w:val="008F79C8"/>
    <w:rsid w:val="008F7CAD"/>
    <w:rsid w:val="00905B51"/>
    <w:rsid w:val="00912D1B"/>
    <w:rsid w:val="009176F5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4033"/>
    <w:rsid w:val="00B45830"/>
    <w:rsid w:val="00B515E2"/>
    <w:rsid w:val="00B53EEB"/>
    <w:rsid w:val="00B67387"/>
    <w:rsid w:val="00B701F7"/>
    <w:rsid w:val="00B751CC"/>
    <w:rsid w:val="00B7619B"/>
    <w:rsid w:val="00B771C2"/>
    <w:rsid w:val="00B77B9A"/>
    <w:rsid w:val="00B830EF"/>
    <w:rsid w:val="00B94FE4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53BC"/>
    <w:rsid w:val="00D7168E"/>
    <w:rsid w:val="00D84AF7"/>
    <w:rsid w:val="00D85CD8"/>
    <w:rsid w:val="00D8706D"/>
    <w:rsid w:val="00D87713"/>
    <w:rsid w:val="00D91138"/>
    <w:rsid w:val="00D940AF"/>
    <w:rsid w:val="00DB348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6CFE"/>
    <w:rsid w:val="00E629CD"/>
    <w:rsid w:val="00E639D1"/>
    <w:rsid w:val="00E70A35"/>
    <w:rsid w:val="00E7508A"/>
    <w:rsid w:val="00E80A39"/>
    <w:rsid w:val="00E80E84"/>
    <w:rsid w:val="00E8717E"/>
    <w:rsid w:val="00E959D2"/>
    <w:rsid w:val="00EB40F0"/>
    <w:rsid w:val="00EB51D2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7B4B"/>
    <w:rsid w:val="00F0545E"/>
    <w:rsid w:val="00F12C4F"/>
    <w:rsid w:val="00F20E57"/>
    <w:rsid w:val="00F32078"/>
    <w:rsid w:val="00F6570B"/>
    <w:rsid w:val="00F90E71"/>
    <w:rsid w:val="00F927C9"/>
    <w:rsid w:val="00F92A2B"/>
    <w:rsid w:val="00FA673C"/>
    <w:rsid w:val="00FC2827"/>
    <w:rsid w:val="00FC6F40"/>
    <w:rsid w:val="00FC73FB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1EC9-D5B5-42A2-85A0-F3D9968A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36</cp:revision>
  <cp:lastPrinted>2021-11-11T07:34:00Z</cp:lastPrinted>
  <dcterms:created xsi:type="dcterms:W3CDTF">2021-11-03T09:53:00Z</dcterms:created>
  <dcterms:modified xsi:type="dcterms:W3CDTF">2021-11-11T07:39:00Z</dcterms:modified>
</cp:coreProperties>
</file>