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1DFD" w:rsidRDefault="00D14C8A" w:rsidP="004E61E4">
      <w:pPr>
        <w:pStyle w:val="af"/>
        <w:keepNext w:val="0"/>
        <w:suppressAutoHyphens w:val="0"/>
        <w:spacing w:before="0" w:after="0" w:line="240" w:lineRule="auto"/>
        <w:jc w:val="right"/>
        <w:rPr>
          <w:rFonts w:ascii="Times New Roman" w:eastAsia="Times New Roman" w:hAnsi="Times New Roman"/>
          <w:i w:val="0"/>
          <w:spacing w:val="15"/>
          <w:sz w:val="24"/>
          <w:szCs w:val="24"/>
          <w:lang w:val="ru-RU" w:eastAsia="x-none"/>
        </w:rPr>
      </w:pPr>
      <w:r>
        <w:rPr>
          <w:rFonts w:ascii="Times New Roman" w:eastAsia="Times New Roman" w:hAnsi="Times New Roman"/>
          <w:i w:val="0"/>
          <w:spacing w:val="15"/>
          <w:sz w:val="24"/>
          <w:szCs w:val="24"/>
          <w:lang w:val="ru-RU" w:eastAsia="x-none"/>
        </w:rPr>
        <w:t>проект</w:t>
      </w:r>
    </w:p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14C8A">
        <w:rPr>
          <w:rFonts w:ascii="Times New Roman" w:hAnsi="Times New Roman"/>
          <w:bCs/>
          <w:sz w:val="24"/>
          <w:szCs w:val="24"/>
        </w:rPr>
        <w:t>_______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D14C8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D14C8A">
        <w:rPr>
          <w:rFonts w:ascii="Times New Roman" w:hAnsi="Times New Roman"/>
          <w:bCs/>
          <w:sz w:val="24"/>
          <w:szCs w:val="24"/>
        </w:rPr>
        <w:t>_____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53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2022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2023 и 2024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2134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2022 год и на плановый период 2023 и 2024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2022 год и на плановый период 2023 и 2024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352176" w:rsidRDefault="00D14C8A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</w:t>
      </w:r>
      <w:r w:rsidR="00260D45" w:rsidRPr="00352176">
        <w:rPr>
          <w:rFonts w:ascii="Times New Roman" w:hAnsi="Times New Roman" w:cs="Times New Roman"/>
        </w:rPr>
        <w:t xml:space="preserve"> постановлени</w:t>
      </w:r>
      <w:r w:rsidR="003C10E5" w:rsidRPr="00352176">
        <w:rPr>
          <w:rFonts w:ascii="Times New Roman" w:hAnsi="Times New Roman" w:cs="Times New Roman"/>
        </w:rPr>
        <w:t>я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>
        <w:rPr>
          <w:rFonts w:ascii="Times New Roman" w:hAnsi="Times New Roman" w:cs="Times New Roman"/>
        </w:rPr>
        <w:t>______</w:t>
      </w:r>
      <w:r w:rsidR="00F20E5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</w:p>
    <w:p w:rsidR="00260D45" w:rsidRPr="00B515E2" w:rsidRDefault="00260D45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сформированы с учетом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положений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ийской Федерации от 21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</w:t>
      </w:r>
      <w:proofErr w:type="gramEnd"/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направлений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год и на плановый период 2023 и 2024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7E24" w:rsidRDefault="00657E24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Приоритетом бюджетной политики в 2020 году являлось финансовое обеспечение расходов, связанных с ликвидацией </w:t>
      </w:r>
      <w:proofErr w:type="spellStart"/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оказанием мер социальной поддержки гражданам, реализацией мер поддержки бизнеса, решением приоритетных задач, поставленных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B51" w:rsidRDefault="00905B5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Обеспечено выполнение Плана первоочередных мероприятий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обеспечению социальной стабильности и устойчивого развития экономики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распространения </w:t>
      </w:r>
      <w:proofErr w:type="spellStart"/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(COVID-2019), утвержденного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Пролетарского сельского поселения от 10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.04.2020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</w:t>
      </w:r>
    </w:p>
    <w:p w:rsidR="00905B51" w:rsidRDefault="002971D5" w:rsidP="002971D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Учитывая особенности исполнения бюджета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Красносулинмского</w:t>
      </w:r>
      <w:proofErr w:type="spellEnd"/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бюджет поселения)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2020 году,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целом сложилась положительная динамика показателей. По сравнению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2019 годом рост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собственным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доходам составил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15,2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1 296,9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рублей, по расходам – 18,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1 955,1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рублей. Превышение расходов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доходами бюджета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314,8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рублей. Источником пок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рытия бюджетного дефицита являло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изменение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остатков средств по учету средств бюджета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8BE" w:rsidRDefault="004A28BE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2020 году удалось достичь положительных итогов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собственным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8BE" w:rsidRDefault="004A28BE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Наряду с федеральными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региональными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мерами</w:t>
      </w:r>
      <w:r w:rsidR="00CA0449" w:rsidRPr="00CA0449">
        <w:t xml:space="preserve"> </w:t>
      </w:r>
      <w:r w:rsidR="00CA0449"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 на местном уровне для пострадавших отраслей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449"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предоставлены льготы по земельному налогу собственникам гостиниц.</w:t>
      </w:r>
    </w:p>
    <w:p w:rsidR="00CA0449" w:rsidRDefault="00CA0449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Реализован обширный перечень неналоговых мер поддержки: отсрочки по арендным платежам и уменьшение размеров арендной платы.</w:t>
      </w:r>
    </w:p>
    <w:p w:rsidR="00451E21" w:rsidRP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Новацией стала передача в бюджеты муниципальных образований:</w:t>
      </w:r>
    </w:p>
    <w:p w:rsidR="00451E21" w:rsidRP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транспортного налога в полном объеме, в целях пополнения муниципальных дорожных фондов и повышения заинтересованности органов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его собираемости;</w:t>
      </w:r>
    </w:p>
    <w:p w:rsid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нормативов отчислений в бюджеты муниципальных образований налога,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взимаемого в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связи с применением упрощенной системы налогообложения, в размере 15 процентов.</w:t>
      </w:r>
    </w:p>
    <w:p w:rsid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бюджетных расходов приоритетным направлением являлось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расходов на социальную сферу.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отрасли культуры, спорта, социальную политику составили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20,5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расходов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2 629,9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451E21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Просроченная задолженность по обязательствам за счет средств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отсутствует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3A2" w:rsidRDefault="00363A6A" w:rsidP="006B356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Долговая политика Пролетарского сельского поселения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2020 году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нацелена на обеспечение устойчивости и сбалансированности бюджета поселения.</w:t>
      </w:r>
    </w:p>
    <w:p w:rsidR="00363A6A" w:rsidRPr="00363A6A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период I полугодия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 бюджета поселения по доходам составило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2 856,3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21,0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плану. Расходы исполнены в сумме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4 853,0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2,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к годовому плану.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исполнения дефицит составил 1 996,7 тыс. рублей.</w:t>
      </w:r>
    </w:p>
    <w:p w:rsidR="00C263A2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Собственные доходы бюджета поселения по итогам I полугодия 202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исполнены в объеме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1 862,3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E70A35" w:rsidRPr="00E70A35" w:rsidRDefault="00E70A35" w:rsidP="00E70A3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Уточнены отдельные положения Областного закона от 10.05.2012 № 843-ЗС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региональных налогах и некоторых вопросах налогообложения в Ростовской области» в целях урегулирования вопросов предоставления физическим лицам льгот в </w:t>
      </w:r>
      <w:proofErr w:type="spellStart"/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беззаявительном</w:t>
      </w:r>
      <w:proofErr w:type="spellEnd"/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порядке при наличии нескольких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объектов налогообложения по аналогии с федеральными льготами по налогу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имущество физических лиц и земельному налогу.</w:t>
      </w:r>
    </w:p>
    <w:p w:rsidR="00AA63A6" w:rsidRDefault="00AA63A6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Проведена оценка налоговых расходов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обусловленных установленными местными налоговыми льготами. Она осуществлялась с учетом положений постановления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 от 1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9.11.2019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122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A6A" w:rsidRDefault="00C833C9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</w:t>
      </w:r>
      <w:proofErr w:type="gramStart"/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оценки налоговых расходов, проведенной в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все налоговые льготы носят</w:t>
      </w:r>
      <w:proofErr w:type="gramEnd"/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социальный характер и признаны эффективными.</w:t>
      </w:r>
    </w:p>
    <w:p w:rsidR="00AA63A6" w:rsidRDefault="00AA63A6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точечных задач в области бюджетной и налоговой политики 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FE6012" w:rsidRDefault="00FE6012" w:rsidP="00FE601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и налоговая политика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год и на плановый период 2023 и 2024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сохранит свою направленность на 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целей и решение задач, 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0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определенных у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</w:t>
      </w:r>
      <w:r w:rsidR="006500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07.05.2018 № 204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от 21.07.2020 №474,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Посланием Президента Российской Федерации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Федеральному Собранию Российской Федерации от 21.04.2021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C10" w:rsidRP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главных национальных целей развития страны на указанный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591BEF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бюджетной и налоговой политики сохраняют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преемственность задач, определенных на 2021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мере стабилизации экономической и санитарно-эпидемиологической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ситуации основной целью является постепенный возврат к налоговому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финансовому климату, существовавшему до введения ограничительных мер</w:t>
      </w:r>
      <w:r w:rsid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2022 год и на плановый период 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2024 годов сформированы в благоприятных условиях, обусловленных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увеличением поступлений налоговых и неналоговых доходов в 2021 году и опережающими темпами роста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0E3E90" w:rsidRPr="000E3E90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Сохраняются требования по соблюдению бюджетного законодательства,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предельного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долга и бюджетного дефицита, недопущению образования кредиторской задолженности.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необходимо обеспечить качественное планирование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эффективное его исполнение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EF" w:rsidRDefault="00591BE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489B" w:rsidRDefault="00232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Налоговая политика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>на 2022 год и на плановый период 2023 и 2024 годов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>ориентирована на развитие доходного потенциала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89B"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 и основывается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 xml:space="preserve">на следующих приоритетах: </w:t>
      </w:r>
    </w:p>
    <w:p w:rsidR="0023223D" w:rsidRPr="0023223D" w:rsidRDefault="00232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2F4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существующего 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489B" w:rsidRDefault="0023223D" w:rsidP="00232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2. Стабилизация сектора индивидуального предпринимательства как существенно пострадавшего от распространения новой </w:t>
      </w:r>
      <w:proofErr w:type="spellStart"/>
      <w:r w:rsidRPr="0023223D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F489B" w:rsidRP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. Содействие занятости населения и создание благоприятных налоговых условий, способствующих развитию предпринимательской активности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 xml:space="preserve">и легализации бизнеса </w:t>
      </w:r>
      <w:proofErr w:type="spellStart"/>
      <w:r w:rsidRPr="002F489B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2F489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. Обеспечение комфортных налоговых условий для отдельных категорий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населения, нуждающихся в государственной поддержке.</w:t>
      </w:r>
    </w:p>
    <w:p w:rsidR="002F489B" w:rsidRDefault="002A36E8" w:rsidP="002A36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трехлетней перспективе будет продолжена работа по укреплению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доходной базы 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наращивания стабильных доходных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источников и мобилизации в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резервов.</w:t>
      </w:r>
    </w:p>
    <w:p w:rsid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5F45" w:rsidRDefault="006B5F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целей, предусмотренных указами Президента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07.05.2018 № 204, от 21.07.2020 № 474, Посланием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едеральному Собранию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Федерации от 21.04.2021, 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A87148" w:rsidRDefault="006B5F45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направлено на здоровье и социальное благополучие граждан, снижение уровня бедности.</w:t>
      </w:r>
    </w:p>
    <w:p w:rsidR="001506EC" w:rsidRDefault="001506EC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0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повышения уровня доходов граждан планируется уточнение расходов на оплату труда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 с показателем «среднемесячная начисленная заработная плата</w:t>
      </w:r>
      <w:proofErr w:type="gramEnd"/>
      <w:r w:rsidRPr="00150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6B5F45" w:rsidRDefault="00A87148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планируемым внесением изменений в статью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19.06.2000 № 82-ФЗ «О минимальном </w:t>
      </w:r>
      <w:proofErr w:type="gramStart"/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EEB" w:rsidRDefault="00B53EEB" w:rsidP="00B53EE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 Пролетарского сельского поселения</w:t>
      </w:r>
      <w:proofErr w:type="gramEnd"/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бюджетных</w:t>
      </w: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учреждений, на которые не распространяется действие указов Президента Российской Федерации 2012 года, будет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предусмотрена индексация расходов на прогнозный уровень инфляции</w:t>
      </w:r>
      <w:r w:rsid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0E1" w:rsidRDefault="009330E1" w:rsidP="009330E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граждан и повышение качества услуг в отраслях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социальной сферы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F45" w:rsidRDefault="006B5F4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2022 - 2024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</w:t>
      </w: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</w:t>
      </w:r>
      <w:proofErr w:type="gram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На 2022 год и на плановый период 2023 и 2024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дезинфекци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C1187">
        <w:rPr>
          <w:rFonts w:ascii="Times New Roman" w:hAnsi="Times New Roman" w:cs="Times New Roman"/>
          <w:sz w:val="24"/>
          <w:szCs w:val="24"/>
          <w:lang w:eastAsia="ru-RU"/>
        </w:rPr>
        <w:t xml:space="preserve"> и лабораторный контроль питьевой воды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1C2" w:rsidRDefault="00B771C2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в 2022 году строительство газопровода в х. Прохоровка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Ростовской области.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</w:t>
      </w:r>
      <w:bookmarkStart w:id="1" w:name="_GoBack"/>
      <w:bookmarkEnd w:id="1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 и применением мер ответственности к нарушителям. 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Default="00CE3FB4" w:rsidP="00CE3FB4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отношении обеспечения контроля финансовым органом при 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Кроме того, с 2022 года финансовые органы будут осуществлять </w:t>
      </w:r>
      <w:proofErr w:type="gramStart"/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BF0807" w:rsidRDefault="00BF0807" w:rsidP="002322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5D" w:rsidRDefault="0038095D">
      <w:pPr>
        <w:spacing w:after="0" w:line="240" w:lineRule="auto"/>
      </w:pPr>
      <w:r>
        <w:separator/>
      </w:r>
    </w:p>
  </w:endnote>
  <w:endnote w:type="continuationSeparator" w:id="0">
    <w:p w:rsidR="0038095D" w:rsidRDefault="0038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5D" w:rsidRDefault="0038095D">
      <w:pPr>
        <w:spacing w:after="0" w:line="240" w:lineRule="auto"/>
      </w:pPr>
      <w:r>
        <w:separator/>
      </w:r>
    </w:p>
  </w:footnote>
  <w:footnote w:type="continuationSeparator" w:id="0">
    <w:p w:rsidR="0038095D" w:rsidRDefault="0038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59E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A0A75"/>
    <w:rsid w:val="003A5078"/>
    <w:rsid w:val="003A55C9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6844"/>
    <w:rsid w:val="005731AA"/>
    <w:rsid w:val="00577A7D"/>
    <w:rsid w:val="00577D68"/>
    <w:rsid w:val="0058069D"/>
    <w:rsid w:val="00591BEF"/>
    <w:rsid w:val="005A090E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652B"/>
    <w:rsid w:val="007B7FDC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F0753"/>
    <w:rsid w:val="008F1811"/>
    <w:rsid w:val="008F3CBC"/>
    <w:rsid w:val="008F5D81"/>
    <w:rsid w:val="008F79C8"/>
    <w:rsid w:val="008F7CAD"/>
    <w:rsid w:val="00905B51"/>
    <w:rsid w:val="00912D1B"/>
    <w:rsid w:val="009176F5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4033"/>
    <w:rsid w:val="00B45830"/>
    <w:rsid w:val="00B515E2"/>
    <w:rsid w:val="00B53EEB"/>
    <w:rsid w:val="00B67387"/>
    <w:rsid w:val="00B701F7"/>
    <w:rsid w:val="00B751CC"/>
    <w:rsid w:val="00B7619B"/>
    <w:rsid w:val="00B771C2"/>
    <w:rsid w:val="00B77B9A"/>
    <w:rsid w:val="00B830EF"/>
    <w:rsid w:val="00B94FE4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53BC"/>
    <w:rsid w:val="00D7168E"/>
    <w:rsid w:val="00D84AF7"/>
    <w:rsid w:val="00D85CD8"/>
    <w:rsid w:val="00D8706D"/>
    <w:rsid w:val="00D87713"/>
    <w:rsid w:val="00D91138"/>
    <w:rsid w:val="00D940AF"/>
    <w:rsid w:val="00DB348B"/>
    <w:rsid w:val="00DD7BEA"/>
    <w:rsid w:val="00DE1375"/>
    <w:rsid w:val="00DF5ABD"/>
    <w:rsid w:val="00E04AF3"/>
    <w:rsid w:val="00E20A22"/>
    <w:rsid w:val="00E20C10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6CFE"/>
    <w:rsid w:val="00E629CD"/>
    <w:rsid w:val="00E639D1"/>
    <w:rsid w:val="00E70A35"/>
    <w:rsid w:val="00E7508A"/>
    <w:rsid w:val="00E80A39"/>
    <w:rsid w:val="00E80E84"/>
    <w:rsid w:val="00E8717E"/>
    <w:rsid w:val="00E959D2"/>
    <w:rsid w:val="00EB40F0"/>
    <w:rsid w:val="00EB51D2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7B4B"/>
    <w:rsid w:val="00F0545E"/>
    <w:rsid w:val="00F12C4F"/>
    <w:rsid w:val="00F20E57"/>
    <w:rsid w:val="00F32078"/>
    <w:rsid w:val="00F6570B"/>
    <w:rsid w:val="00F90E71"/>
    <w:rsid w:val="00F927C9"/>
    <w:rsid w:val="00F92A2B"/>
    <w:rsid w:val="00FA673C"/>
    <w:rsid w:val="00FC2827"/>
    <w:rsid w:val="00FC6F40"/>
    <w:rsid w:val="00FC73FB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BBD4-9BAF-4412-85F7-13B0BB76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35</cp:revision>
  <cp:lastPrinted>2018-11-06T13:57:00Z</cp:lastPrinted>
  <dcterms:created xsi:type="dcterms:W3CDTF">2021-11-03T09:53:00Z</dcterms:created>
  <dcterms:modified xsi:type="dcterms:W3CDTF">2021-11-11T06:52:00Z</dcterms:modified>
</cp:coreProperties>
</file>