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2A2CB6" w:rsidP="00394FE3">
      <w:pPr>
        <w:jc w:val="right"/>
        <w:rPr>
          <w:i/>
        </w:rPr>
      </w:pPr>
      <w:r w:rsidRPr="00AD6012">
        <w:rPr>
          <w:i/>
        </w:rPr>
        <w:t xml:space="preserve">      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E187A">
        <w:t>25.03</w:t>
      </w:r>
      <w:r w:rsidR="006F1BD0">
        <w:t>.</w:t>
      </w:r>
      <w:r w:rsidR="00F3767B">
        <w:t>202</w:t>
      </w:r>
      <w:r w:rsidR="00E63515">
        <w:t>2</w:t>
      </w:r>
      <w:r w:rsidR="00CF68AD" w:rsidRPr="0004726F">
        <w:t xml:space="preserve">  №</w:t>
      </w:r>
      <w:r w:rsidR="00424B66">
        <w:t xml:space="preserve"> </w:t>
      </w:r>
      <w:r w:rsidR="007E187A">
        <w:t>31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E63515">
        <w:t>1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1615DD">
        <w:t>3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E63515">
        <w:t>1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D33D6C">
        <w:rPr>
          <w:color w:val="000000"/>
          <w:sz w:val="21"/>
          <w:szCs w:val="21"/>
        </w:rPr>
        <w:t>25.03.</w:t>
      </w:r>
      <w:r w:rsidR="00F847A2">
        <w:rPr>
          <w:color w:val="000000"/>
          <w:sz w:val="21"/>
          <w:szCs w:val="21"/>
        </w:rPr>
        <w:t>202</w:t>
      </w:r>
      <w:r w:rsidR="00E63515">
        <w:rPr>
          <w:color w:val="000000"/>
          <w:sz w:val="21"/>
          <w:szCs w:val="21"/>
        </w:rPr>
        <w:t>2</w:t>
      </w:r>
      <w:r w:rsidRPr="006F34BB">
        <w:rPr>
          <w:color w:val="000000"/>
          <w:sz w:val="21"/>
          <w:szCs w:val="21"/>
        </w:rPr>
        <w:t xml:space="preserve"> № </w:t>
      </w:r>
      <w:r w:rsidR="00D33D6C">
        <w:rPr>
          <w:color w:val="000000"/>
          <w:sz w:val="21"/>
          <w:szCs w:val="21"/>
        </w:rPr>
        <w:t>31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E6351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E63515">
        <w:rPr>
          <w:b/>
          <w:color w:val="000000"/>
        </w:rPr>
        <w:t>1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E63515">
        <w:rPr>
          <w:kern w:val="2"/>
        </w:rPr>
        <w:t>1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E63515">
        <w:rPr>
          <w:kern w:val="2"/>
        </w:rPr>
        <w:t>1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F847A2">
        <w:t>арского сельского поселения от 1</w:t>
      </w:r>
      <w:r w:rsidR="00E63515">
        <w:t>6</w:t>
      </w:r>
      <w:r w:rsidR="005C3856" w:rsidRPr="00902366">
        <w:t>.1</w:t>
      </w:r>
      <w:r w:rsidR="005C3856">
        <w:t>2</w:t>
      </w:r>
      <w:r w:rsidR="00E63515">
        <w:t>.2020</w:t>
      </w:r>
      <w:r w:rsidR="005C3856" w:rsidRPr="00902366">
        <w:t xml:space="preserve"> № </w:t>
      </w:r>
      <w:r w:rsidR="00F847A2">
        <w:t>1</w:t>
      </w:r>
      <w:r w:rsidR="00E63515">
        <w:t>34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E63515">
        <w:t>1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E63515">
        <w:t>1</w:t>
      </w:r>
      <w:r w:rsidR="00073416">
        <w:t xml:space="preserve"> году получили дополнительное профессиональное образование:</w:t>
      </w:r>
    </w:p>
    <w:p w:rsidR="00073416" w:rsidRDefault="00F847A2" w:rsidP="00185CE7">
      <w:pPr>
        <w:ind w:firstLine="709"/>
        <w:jc w:val="both"/>
      </w:pPr>
      <w:r>
        <w:t xml:space="preserve">- </w:t>
      </w:r>
      <w:r w:rsidR="00E63515" w:rsidRPr="00E63515">
        <w:t xml:space="preserve">3 муниципальных служащих прошли </w:t>
      </w:r>
      <w:proofErr w:type="gramStart"/>
      <w:r w:rsidR="00E63515" w:rsidRPr="00E63515">
        <w:t>обучение по программе</w:t>
      </w:r>
      <w:proofErr w:type="gramEnd"/>
      <w:r w:rsidR="00E63515" w:rsidRPr="00E63515">
        <w:t xml:space="preserve">: «Специальное </w:t>
      </w:r>
      <w:proofErr w:type="gramStart"/>
      <w:r w:rsidR="00E63515" w:rsidRPr="00E63515">
        <w:t>обучение по охране</w:t>
      </w:r>
      <w:proofErr w:type="gramEnd"/>
      <w:r w:rsidR="00E63515" w:rsidRPr="00E63515">
        <w:t xml:space="preserve"> труда руководителей и специалистов, осуществляющих организацию и руководство выполнением работ на рабочих местах и в производственных подразделениях»</w:t>
      </w:r>
      <w:r w:rsidR="009736F8">
        <w:t>;</w:t>
      </w:r>
    </w:p>
    <w:p w:rsidR="009736F8" w:rsidRPr="007550E9" w:rsidRDefault="009736F8" w:rsidP="00185CE7">
      <w:pPr>
        <w:ind w:firstLine="709"/>
        <w:jc w:val="both"/>
      </w:pPr>
      <w:r w:rsidRPr="007550E9">
        <w:t>- Глава Администрации Пролетарского сельского поселения получил удостоверения о повышении квалификации по курсам</w:t>
      </w:r>
      <w:r w:rsidR="007550E9" w:rsidRPr="007550E9">
        <w:t>:</w:t>
      </w:r>
      <w:r w:rsidRPr="007550E9">
        <w:t xml:space="preserve"> «</w:t>
      </w:r>
      <w:r w:rsidR="000C7BA8" w:rsidRPr="007550E9">
        <w:t>Антитеррористическая защищенность на объектах (территориях) труда и социальной защиты</w:t>
      </w:r>
      <w:r w:rsidRPr="007550E9">
        <w:t>»;  «</w:t>
      </w:r>
      <w:r w:rsidR="000C7BA8" w:rsidRPr="007550E9">
        <w:t>Программа повышения квалификации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</w:r>
      <w:r w:rsidRPr="007550E9">
        <w:t>»; «</w:t>
      </w:r>
      <w:r w:rsidR="007550E9" w:rsidRPr="007550E9">
        <w:t>Контрактная система в сфере закупок товаров, работ, услуг для обеспечения Государственных и Муниципальных нужд (44-ФЗ)».</w:t>
      </w:r>
      <w:r w:rsidRPr="007550E9">
        <w:t xml:space="preserve"> </w:t>
      </w:r>
      <w:r w:rsidR="007C4118">
        <w:t>Глава обучился</w:t>
      </w:r>
      <w:r w:rsidR="007550E9" w:rsidRPr="007550E9">
        <w:t xml:space="preserve"> по </w:t>
      </w:r>
      <w:proofErr w:type="spellStart"/>
      <w:r w:rsidR="007550E9" w:rsidRPr="007550E9">
        <w:t>пожарно</w:t>
      </w:r>
      <w:proofErr w:type="spellEnd"/>
      <w:r w:rsidR="007550E9" w:rsidRPr="007550E9">
        <w:t xml:space="preserve"> – техническому минимуму по программе для руководителей и ответств</w:t>
      </w:r>
      <w:r w:rsidR="007550E9">
        <w:t>енных за пожарную безопасность и охране труда по программе для руководителей, специалистов, ЧАК предприятий и организаций.</w:t>
      </w:r>
    </w:p>
    <w:p w:rsidR="00515A38" w:rsidRDefault="00515A38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515A38">
        <w:rPr>
          <w:kern w:val="2"/>
        </w:rPr>
        <w:t xml:space="preserve">Глава Администрации </w:t>
      </w:r>
      <w:r>
        <w:rPr>
          <w:kern w:val="2"/>
        </w:rPr>
        <w:t>Пролетарского</w:t>
      </w:r>
      <w:r w:rsidRPr="00515A38">
        <w:rPr>
          <w:kern w:val="2"/>
        </w:rPr>
        <w:t xml:space="preserve"> сельского поселения принимал</w:t>
      </w:r>
      <w:r w:rsidR="009261E1">
        <w:rPr>
          <w:kern w:val="2"/>
        </w:rPr>
        <w:t>а</w:t>
      </w:r>
      <w:r w:rsidRPr="00515A38">
        <w:rPr>
          <w:kern w:val="2"/>
        </w:rPr>
        <w:t xml:space="preserve">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t xml:space="preserve">- </w:t>
      </w:r>
      <w:r w:rsidR="000B7D2B">
        <w:rPr>
          <w:szCs w:val="28"/>
        </w:rPr>
        <w:t>ш</w:t>
      </w:r>
      <w:r w:rsidR="000B7D2B" w:rsidRPr="000B7D2B">
        <w:rPr>
          <w:szCs w:val="28"/>
        </w:rPr>
        <w:t xml:space="preserve">татная численность муниципальных служащих Администрации Пролетарского сельского поселения </w:t>
      </w:r>
      <w:r w:rsidR="00E63515" w:rsidRPr="00E63515">
        <w:rPr>
          <w:szCs w:val="28"/>
        </w:rPr>
        <w:t xml:space="preserve">на 2021 – 2023 годы приведена в соответствии с протоколом заседания </w:t>
      </w:r>
      <w:r w:rsidR="00E63515" w:rsidRPr="00E63515">
        <w:rPr>
          <w:szCs w:val="28"/>
        </w:rPr>
        <w:lastRenderedPageBreak/>
        <w:t>Правительства Ростовской области от 27.07.2020 №32. Для поселений численностью до 3 тыс. чел.  норматив составляет 6,5 единиц.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proofErr w:type="gramStart"/>
      <w:r w:rsidRPr="004F2ECC"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DE0D5E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E52FCF">
        <w:t>трем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>нии. Произведена е</w:t>
      </w:r>
      <w:r w:rsidR="00E52FCF" w:rsidRPr="00E52FCF">
        <w:t>диновременн</w:t>
      </w:r>
      <w:r w:rsidR="00E52FCF">
        <w:t>ая</w:t>
      </w:r>
      <w:r w:rsidR="00E52FCF" w:rsidRPr="00E52FCF">
        <w:t xml:space="preserve"> выплаты </w:t>
      </w:r>
      <w:r w:rsidR="00E52FCF">
        <w:t xml:space="preserve">муниципальному служащему при увольнении на пенсию. </w:t>
      </w:r>
      <w:r w:rsidR="00C73392" w:rsidRPr="0074150F">
        <w:rPr>
          <w:kern w:val="2"/>
          <w:lang w:eastAsia="en-US"/>
        </w:rPr>
        <w:t>В рамках реализации подпрограммы 3</w:t>
      </w:r>
      <w:r w:rsidR="00C73392">
        <w:rPr>
          <w:kern w:val="2"/>
          <w:lang w:eastAsia="en-US"/>
        </w:rPr>
        <w:t xml:space="preserve"> </w:t>
      </w:r>
      <w:r w:rsidR="00C73392"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="00C73392" w:rsidRPr="00C73392">
        <w:rPr>
          <w:kern w:val="2"/>
          <w:lang w:eastAsia="en-US"/>
        </w:rPr>
        <w:t>»</w:t>
      </w:r>
      <w:r w:rsidR="00C73392" w:rsidRPr="00C73392">
        <w:t xml:space="preserve"> </w:t>
      </w:r>
      <w:r w:rsidR="00C73392"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proofErr w:type="gramStart"/>
      <w:r>
        <w:t>п</w:t>
      </w:r>
      <w:r w:rsidRPr="00992E6A">
        <w:t xml:space="preserve">роведена </w:t>
      </w:r>
      <w:r w:rsidR="00C73392">
        <w:t>с</w:t>
      </w:r>
      <w:r w:rsidR="00C73392" w:rsidRPr="00C73392">
        <w:t>пециальная оценка условий труда проведена</w:t>
      </w:r>
      <w:proofErr w:type="gramEnd"/>
      <w:r w:rsidR="00C73392" w:rsidRPr="00C73392">
        <w:t xml:space="preserve"> </w:t>
      </w:r>
      <w:bookmarkStart w:id="0" w:name="_GoBack"/>
      <w:bookmarkEnd w:id="0"/>
      <w:r w:rsidR="00C73392" w:rsidRPr="00C73392">
        <w:t>в 2017 году</w:t>
      </w:r>
      <w:r w:rsidR="000B7D2B">
        <w:t>,</w:t>
      </w:r>
      <w:r w:rsidR="000B7D2B" w:rsidRPr="000B7D2B">
        <w:t xml:space="preserve"> </w:t>
      </w:r>
      <w:r w:rsidR="000B7D2B">
        <w:t>п</w:t>
      </w:r>
      <w:r w:rsidR="000B7D2B" w:rsidRPr="000B7D2B">
        <w:t>ланируемый срок проведения, следующий оценки труда в 2022 году.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>- проведена 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290FFC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lastRenderedPageBreak/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627F3E">
        <w:rPr>
          <w:color w:val="000000"/>
        </w:rPr>
        <w:t>1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627F3E">
        <w:rPr>
          <w:color w:val="000000"/>
        </w:rPr>
        <w:t>416,6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627F3E">
        <w:rPr>
          <w:color w:val="000000"/>
        </w:rPr>
        <w:t>414,0 тыс. рублей или 99,4</w:t>
      </w:r>
      <w:r w:rsidRPr="00CE1752">
        <w:rPr>
          <w:color w:val="000000"/>
        </w:rPr>
        <w:t xml:space="preserve"> процент</w:t>
      </w:r>
      <w:r w:rsidR="00627F3E">
        <w:rPr>
          <w:color w:val="000000"/>
        </w:rPr>
        <w:t>а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627F3E">
        <w:rPr>
          <w:color w:val="000000"/>
        </w:rPr>
        <w:t>5</w:t>
      </w:r>
      <w:r w:rsidRPr="005069D5">
        <w:rPr>
          <w:color w:val="000000"/>
        </w:rPr>
        <w:t>.12.20</w:t>
      </w:r>
      <w:r w:rsidR="00627F3E">
        <w:rPr>
          <w:color w:val="000000"/>
        </w:rPr>
        <w:t>20</w:t>
      </w:r>
      <w:r w:rsidRPr="005069D5">
        <w:rPr>
          <w:color w:val="000000"/>
        </w:rPr>
        <w:t xml:space="preserve"> № </w:t>
      </w:r>
      <w:r w:rsidR="001815CE">
        <w:rPr>
          <w:color w:val="000000"/>
        </w:rPr>
        <w:t>1</w:t>
      </w:r>
      <w:r w:rsidR="00627F3E">
        <w:rPr>
          <w:color w:val="000000"/>
        </w:rPr>
        <w:t>56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627F3E">
        <w:rPr>
          <w:color w:val="000000"/>
        </w:rPr>
        <w:t>1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627F3E">
        <w:rPr>
          <w:color w:val="000000"/>
        </w:rPr>
        <w:t>2</w:t>
      </w:r>
      <w:r w:rsidRPr="005069D5">
        <w:rPr>
          <w:color w:val="000000"/>
        </w:rPr>
        <w:t xml:space="preserve"> и 202</w:t>
      </w:r>
      <w:r w:rsidR="00627F3E">
        <w:rPr>
          <w:color w:val="000000"/>
        </w:rPr>
        <w:t>3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0C7BA8">
        <w:rPr>
          <w:color w:val="000000"/>
        </w:rPr>
        <w:t>1</w:t>
      </w:r>
      <w:r>
        <w:rPr>
          <w:color w:val="000000"/>
        </w:rPr>
        <w:t xml:space="preserve"> год предусмотрено </w:t>
      </w:r>
      <w:r w:rsidR="005C3DC4">
        <w:rPr>
          <w:color w:val="000000"/>
        </w:rPr>
        <w:t>18,8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>. В рамках реализации данного основного мероприятия заключен</w:t>
      </w:r>
      <w:r w:rsidR="005C3DC4">
        <w:rPr>
          <w:color w:val="000000"/>
        </w:rPr>
        <w:t>о</w:t>
      </w:r>
      <w:r w:rsidR="00C0546A">
        <w:rPr>
          <w:color w:val="000000"/>
        </w:rPr>
        <w:t xml:space="preserve"> </w:t>
      </w:r>
      <w:r w:rsidR="005C3DC4">
        <w:rPr>
          <w:color w:val="000000"/>
        </w:rPr>
        <w:t>2</w:t>
      </w:r>
      <w:r>
        <w:rPr>
          <w:color w:val="000000"/>
        </w:rPr>
        <w:t xml:space="preserve"> муниципальны</w:t>
      </w:r>
      <w:r w:rsidR="005C3DC4">
        <w:rPr>
          <w:color w:val="000000"/>
        </w:rPr>
        <w:t>х</w:t>
      </w:r>
      <w:r>
        <w:rPr>
          <w:color w:val="000000"/>
        </w:rPr>
        <w:t xml:space="preserve"> конт</w:t>
      </w:r>
      <w:r w:rsidR="001815CE">
        <w:rPr>
          <w:color w:val="000000"/>
        </w:rPr>
        <w:t xml:space="preserve">ракта на сумму </w:t>
      </w:r>
      <w:r w:rsidR="005C3DC4">
        <w:rPr>
          <w:color w:val="000000"/>
        </w:rPr>
        <w:t>18,8</w:t>
      </w:r>
      <w:r>
        <w:rPr>
          <w:color w:val="000000"/>
        </w:rPr>
        <w:t xml:space="preserve"> тыс. рубле</w:t>
      </w:r>
      <w:r w:rsidR="005C3DC4">
        <w:rPr>
          <w:color w:val="000000"/>
        </w:rPr>
        <w:t>й</w:t>
      </w:r>
      <w:r w:rsidR="00C0546A">
        <w:rPr>
          <w:color w:val="000000"/>
        </w:rPr>
        <w:t>,</w:t>
      </w:r>
      <w:r w:rsidR="00C0546A" w:rsidRPr="00C0546A">
        <w:t xml:space="preserve"> </w:t>
      </w:r>
      <w:r w:rsidR="005C3DC4">
        <w:rPr>
          <w:color w:val="000000"/>
        </w:rPr>
        <w:t xml:space="preserve">4 </w:t>
      </w:r>
      <w:r w:rsidR="001815CE">
        <w:rPr>
          <w:color w:val="000000"/>
        </w:rPr>
        <w:t xml:space="preserve">муниципальных служащих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5C3DC4">
        <w:rPr>
          <w:color w:val="000000"/>
        </w:rPr>
        <w:t>1</w:t>
      </w:r>
      <w:r>
        <w:rPr>
          <w:color w:val="000000"/>
        </w:rPr>
        <w:t xml:space="preserve"> год запланировано </w:t>
      </w:r>
      <w:r w:rsidR="005C3DC4">
        <w:rPr>
          <w:color w:val="000000"/>
        </w:rPr>
        <w:t>67,3</w:t>
      </w:r>
      <w:r>
        <w:rPr>
          <w:color w:val="000000"/>
        </w:rPr>
        <w:t xml:space="preserve"> тыс. рублей, фактическое освоение составило </w:t>
      </w:r>
      <w:r w:rsidR="005C3DC4">
        <w:rPr>
          <w:color w:val="000000"/>
        </w:rPr>
        <w:t>6</w:t>
      </w:r>
      <w:r w:rsidR="006E4F03">
        <w:rPr>
          <w:color w:val="000000"/>
        </w:rPr>
        <w:t>5</w:t>
      </w:r>
      <w:r w:rsidR="005C3DC4">
        <w:rPr>
          <w:color w:val="000000"/>
        </w:rPr>
        <w:t>,</w:t>
      </w:r>
      <w:r w:rsidR="006E4F03">
        <w:rPr>
          <w:color w:val="000000"/>
        </w:rPr>
        <w:t>0</w:t>
      </w:r>
      <w:r>
        <w:rPr>
          <w:color w:val="000000"/>
        </w:rPr>
        <w:t xml:space="preserve"> тыс. рублей</w:t>
      </w:r>
      <w:r w:rsidR="005C3DC4">
        <w:rPr>
          <w:color w:val="000000"/>
        </w:rPr>
        <w:t>, или 96,</w:t>
      </w:r>
      <w:r w:rsidR="006E4F03">
        <w:rPr>
          <w:color w:val="000000"/>
        </w:rPr>
        <w:t>6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заключено </w:t>
      </w:r>
      <w:r w:rsidR="00C0546A">
        <w:rPr>
          <w:color w:val="000000"/>
        </w:rPr>
        <w:t>1</w:t>
      </w:r>
      <w:r w:rsidR="001815CE">
        <w:rPr>
          <w:color w:val="000000"/>
        </w:rPr>
        <w:t>4</w:t>
      </w:r>
      <w:r w:rsidR="00C0546A">
        <w:rPr>
          <w:color w:val="000000"/>
        </w:rPr>
        <w:t xml:space="preserve"> </w:t>
      </w:r>
      <w:r>
        <w:rPr>
          <w:color w:val="000000"/>
        </w:rPr>
        <w:t xml:space="preserve"> муниципальных контрактов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 </w:t>
      </w:r>
      <w:r>
        <w:rPr>
          <w:color w:val="000000"/>
        </w:rPr>
        <w:t xml:space="preserve">на сумму </w:t>
      </w:r>
      <w:r w:rsidR="00941EEA">
        <w:rPr>
          <w:color w:val="000000"/>
        </w:rPr>
        <w:t>4</w:t>
      </w:r>
      <w:r w:rsidR="005C3DC4">
        <w:rPr>
          <w:color w:val="000000"/>
        </w:rPr>
        <w:t>9</w:t>
      </w:r>
      <w:r w:rsidR="00941EEA">
        <w:rPr>
          <w:color w:val="000000"/>
        </w:rPr>
        <w:t>,</w:t>
      </w:r>
      <w:r w:rsidR="005C3DC4">
        <w:rPr>
          <w:color w:val="000000"/>
        </w:rPr>
        <w:t>4</w:t>
      </w:r>
      <w:r>
        <w:rPr>
          <w:color w:val="000000"/>
        </w:rPr>
        <w:t xml:space="preserve"> тыс. рублей</w:t>
      </w:r>
      <w:r w:rsidR="005C3DC4">
        <w:rPr>
          <w:color w:val="000000"/>
        </w:rPr>
        <w:t>.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 w:rsidR="008E740F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5C3DC4">
        <w:rPr>
          <w:color w:val="000000"/>
        </w:rPr>
        <w:t>11</w:t>
      </w:r>
      <w:r w:rsidR="00941EEA">
        <w:rPr>
          <w:color w:val="000000"/>
        </w:rPr>
        <w:t>.</w:t>
      </w:r>
      <w:r w:rsidR="005C3DC4">
        <w:rPr>
          <w:color w:val="000000"/>
        </w:rPr>
        <w:t>01</w:t>
      </w:r>
      <w:r w:rsidR="00C0546A" w:rsidRPr="00C0546A">
        <w:rPr>
          <w:color w:val="000000"/>
        </w:rPr>
        <w:t>.20</w:t>
      </w:r>
      <w:r w:rsidR="005C3DC4">
        <w:rPr>
          <w:color w:val="000000"/>
        </w:rPr>
        <w:t>21</w:t>
      </w:r>
      <w:r w:rsidR="00C0546A">
        <w:rPr>
          <w:color w:val="000000"/>
        </w:rPr>
        <w:t xml:space="preserve"> №1</w:t>
      </w:r>
      <w:r w:rsidR="00C0546A" w:rsidRPr="00C0546A">
        <w:rPr>
          <w:color w:val="000000"/>
        </w:rPr>
        <w:t xml:space="preserve"> на сумму 1</w:t>
      </w:r>
      <w:r w:rsidR="00941EEA">
        <w:rPr>
          <w:color w:val="000000"/>
        </w:rPr>
        <w:t>5</w:t>
      </w:r>
      <w:r w:rsidR="00C0546A" w:rsidRPr="00C0546A">
        <w:rPr>
          <w:color w:val="000000"/>
        </w:rPr>
        <w:t>,</w:t>
      </w:r>
      <w:r w:rsidR="00941EEA">
        <w:rPr>
          <w:color w:val="000000"/>
        </w:rPr>
        <w:t>6</w:t>
      </w:r>
      <w:r w:rsidR="00C0546A" w:rsidRPr="00C0546A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F5098D">
        <w:t>1</w:t>
      </w:r>
      <w:r>
        <w:t xml:space="preserve"> год предусмотрено</w:t>
      </w:r>
      <w:r w:rsidR="00F5098D">
        <w:t xml:space="preserve"> 312,3 тыс. рублей,</w:t>
      </w:r>
      <w:r>
        <w:t xml:space="preserve"> фактически освоено </w:t>
      </w:r>
      <w:r w:rsidR="00F5098D">
        <w:t>312,1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F5098D">
        <w:t>трем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F5098D">
        <w:t xml:space="preserve"> и единовременную выплату при увольнении на пенсию</w:t>
      </w:r>
      <w:r w:rsidR="008E740F">
        <w:t>.</w:t>
      </w:r>
      <w:r w:rsidRPr="00F777CB">
        <w:t xml:space="preserve"> </w:t>
      </w:r>
    </w:p>
    <w:p w:rsidR="00EB2D26" w:rsidRDefault="001E4703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1E4703">
        <w:t>На реализацию основного мероприятия</w:t>
      </w:r>
      <w:r>
        <w:t xml:space="preserve"> 4.2.</w:t>
      </w:r>
      <w:r w:rsidR="00B14EAF">
        <w:t xml:space="preserve"> </w:t>
      </w:r>
      <w:r w:rsidRPr="001E4703">
        <w:t>«</w:t>
      </w:r>
      <w:r w:rsidR="00883F10" w:rsidRPr="00883F10">
        <w:t>Диспансеризация муниципальных служащих</w:t>
      </w:r>
      <w:r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F5098D">
        <w:t>21</w:t>
      </w:r>
      <w:r w:rsidR="00B14EAF" w:rsidRPr="00B14EAF">
        <w:t xml:space="preserve"> год предусмотрено</w:t>
      </w:r>
      <w:r w:rsidR="00F5098D">
        <w:t xml:space="preserve"> 18,2 тыс. рублей,</w:t>
      </w:r>
      <w:r w:rsidR="00B14EAF" w:rsidRPr="00B14EAF">
        <w:t xml:space="preserve"> фактически освоено</w:t>
      </w:r>
      <w:r w:rsidR="008E740F">
        <w:t xml:space="preserve"> </w:t>
      </w:r>
      <w:r w:rsidR="00F5098D">
        <w:t>18,1</w:t>
      </w:r>
      <w:r w:rsidR="008E740F">
        <w:t xml:space="preserve"> тыс. рублей</w:t>
      </w:r>
      <w:r w:rsidR="00F5098D">
        <w:t>, или 99,5 процентов</w:t>
      </w:r>
      <w:r w:rsidR="008E740F">
        <w:t xml:space="preserve"> на диспансеризацию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F5098D">
        <w:rPr>
          <w:color w:val="000000"/>
        </w:rPr>
        <w:t>1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0A3D5B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581C2B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из которых 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581C2B">
        <w:rPr>
          <w:color w:val="000000"/>
          <w:szCs w:val="28"/>
        </w:rPr>
        <w:t>8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581C2B">
        <w:rPr>
          <w:color w:val="000000"/>
          <w:szCs w:val="28"/>
        </w:rPr>
        <w:t>2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581C2B">
        <w:rPr>
          <w:color w:val="000000"/>
          <w:szCs w:val="28"/>
        </w:rPr>
        <w:t>не достигнуты плановые значения, по 1 показателю отсутствуют плановые значения.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581C2B">
        <w:rPr>
          <w:color w:val="000000"/>
        </w:rPr>
        <w:t>7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581C2B">
        <w:rPr>
          <w:color w:val="000000"/>
        </w:rPr>
        <w:t>7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30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670AA6">
        <w:rPr>
          <w:color w:val="000000"/>
        </w:rPr>
        <w:t>50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581C2B">
        <w:rPr>
          <w:color w:val="000000"/>
        </w:rPr>
        <w:t xml:space="preserve">60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6221C3">
        <w:rPr>
          <w:color w:val="000000"/>
        </w:rPr>
        <w:t>5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30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50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>
        <w:rPr>
          <w:color w:val="000000"/>
        </w:rPr>
        <w:t>значения отсутствуют.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427E4" w:rsidRPr="001427E4">
        <w:rPr>
          <w:color w:val="000000"/>
        </w:rPr>
        <w:t>плановое значение 1</w:t>
      </w:r>
      <w:r w:rsidR="001427E4">
        <w:rPr>
          <w:color w:val="000000"/>
        </w:rPr>
        <w:t>5</w:t>
      </w:r>
      <w:r w:rsidR="001427E4" w:rsidRPr="001427E4">
        <w:rPr>
          <w:color w:val="000000"/>
        </w:rPr>
        <w:t xml:space="preserve"> процентов, фактическое значение – 1</w:t>
      </w:r>
      <w:r w:rsidR="001427E4">
        <w:rPr>
          <w:color w:val="000000"/>
        </w:rPr>
        <w:t>5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>плановое значение 2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581C2B">
        <w:rPr>
          <w:color w:val="000000"/>
        </w:rPr>
        <w:t>3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581C2B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</w:t>
      </w:r>
      <w:r w:rsidRPr="00892B1E">
        <w:rPr>
          <w:color w:val="000000"/>
          <w:szCs w:val="28"/>
        </w:rPr>
        <w:lastRenderedPageBreak/>
        <w:t xml:space="preserve">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5F374E">
        <w:rPr>
          <w:color w:val="000000"/>
        </w:rPr>
        <w:t>1</w:t>
      </w:r>
      <w:r w:rsidR="000538C8">
        <w:rPr>
          <w:color w:val="000000"/>
        </w:rPr>
        <w:t>,67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1</w:t>
      </w:r>
      <w:r w:rsidR="00093EF7">
        <w:rPr>
          <w:color w:val="000000"/>
        </w:rPr>
        <w:t>,5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5F374E">
        <w:rPr>
          <w:color w:val="000000"/>
        </w:rPr>
        <w:t>1</w:t>
      </w:r>
      <w:r w:rsidR="00093EF7">
        <w:rPr>
          <w:color w:val="000000"/>
        </w:rPr>
        <w:t>,67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93EF7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>
        <w:rPr>
          <w:color w:val="000000"/>
        </w:rPr>
        <w:t>1</w:t>
      </w:r>
      <w:r w:rsidR="00093EF7">
        <w:rPr>
          <w:color w:val="000000"/>
        </w:rPr>
        <w:t>,5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093EF7">
        <w:rPr>
          <w:color w:val="000000"/>
        </w:rPr>
        <w:t>8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093EF7">
        <w:rPr>
          <w:color w:val="000000"/>
        </w:rPr>
        <w:t>2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=0,</w:t>
      </w:r>
      <w:r w:rsidR="00093EF7">
        <w:rPr>
          <w:color w:val="000000"/>
        </w:rPr>
        <w:t>8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0D572E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093EF7">
        <w:rPr>
          <w:color w:val="000000"/>
        </w:rPr>
        <w:t>1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11/11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093EF7">
        <w:rPr>
          <w:color w:val="000000"/>
        </w:rPr>
        <w:t>1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093EF7">
        <w:rPr>
          <w:color w:val="000000"/>
        </w:rPr>
        <w:t>0,99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093EF7">
        <w:rPr>
          <w:rFonts w:eastAsia="SimSun" w:cs="Mangal"/>
          <w:kern w:val="3"/>
          <w:lang w:eastAsia="zh-CN" w:bidi="hi-IN"/>
        </w:rPr>
        <w:t>414,0</w:t>
      </w:r>
      <w:r w:rsidR="00F56D20">
        <w:rPr>
          <w:rFonts w:eastAsia="SimSun" w:cs="Mangal"/>
          <w:kern w:val="3"/>
          <w:lang w:eastAsia="zh-CN" w:bidi="hi-IN"/>
        </w:rPr>
        <w:t>/</w:t>
      </w:r>
      <w:r w:rsidR="00093EF7">
        <w:rPr>
          <w:rFonts w:eastAsia="SimSun" w:cs="Mangal"/>
          <w:kern w:val="3"/>
          <w:lang w:eastAsia="zh-CN" w:bidi="hi-IN"/>
        </w:rPr>
        <w:t>416,6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D1483A">
        <w:rPr>
          <w:rFonts w:eastAsia="SimSun" w:cs="Mangal"/>
          <w:kern w:val="3"/>
          <w:lang w:eastAsia="zh-CN" w:bidi="hi-IN"/>
        </w:rPr>
        <w:t>1,0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093EF7">
        <w:rPr>
          <w:rFonts w:eastAsia="SimSun" w:cs="Mangal"/>
          <w:kern w:val="3"/>
          <w:lang w:eastAsia="zh-CN" w:bidi="hi-IN"/>
        </w:rPr>
        <w:t>0,99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093EF7">
        <w:rPr>
          <w:rFonts w:eastAsia="SimSun" w:cs="Mangal"/>
          <w:kern w:val="3"/>
          <w:lang w:eastAsia="zh-CN" w:bidi="hi-IN"/>
        </w:rPr>
        <w:t>1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0A3D5B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3A2DB4">
        <w:rPr>
          <w:color w:val="000000"/>
        </w:rPr>
        <w:t>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093EF7">
        <w:rPr>
          <w:color w:val="000000"/>
        </w:rPr>
        <w:t>8</w:t>
      </w:r>
      <w:r w:rsidR="00EF2B19">
        <w:rPr>
          <w:color w:val="000000"/>
        </w:rPr>
        <w:tab/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="00093EF7">
        <w:rPr>
          <w:color w:val="000000"/>
        </w:rPr>
        <w:t>1</w:t>
      </w:r>
      <w:r w:rsidRPr="00E72F14">
        <w:rPr>
          <w:color w:val="000000"/>
        </w:rPr>
        <w:t>*0,2=0,</w:t>
      </w:r>
      <w:r w:rsidR="00EF2B19">
        <w:rPr>
          <w:color w:val="000000"/>
        </w:rPr>
        <w:t>9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093EF7">
        <w:rPr>
          <w:color w:val="000000"/>
        </w:rPr>
        <w:t>1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9125E5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9C3174">
        <w:rPr>
          <w:b/>
        </w:rPr>
        <w:t>1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6E4A7A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6E4A7A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9C3174" w:rsidRPr="009C3174" w:rsidRDefault="009C3174" w:rsidP="009C31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муниципальных служащих прошли </w:t>
            </w:r>
            <w:proofErr w:type="gramStart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обучение по программе</w:t>
            </w:r>
            <w:proofErr w:type="gramEnd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«Специальное </w:t>
            </w:r>
            <w:proofErr w:type="gramStart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обучение по охране</w:t>
            </w:r>
            <w:proofErr w:type="gramEnd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труда руководителей и специалистов, осуществляющих организацию и руководство выполнением работ на рабочих местах и в производственных подразделениях»</w:t>
            </w:r>
            <w:r w:rsidR="007C4118">
              <w:t xml:space="preserve">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основании муниципального контракта №9 от 08.02.2021 года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7C4EB1" w:rsidRPr="00E463C6" w:rsidRDefault="009C3174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Администрации Пролетарского сельского поселения получил удостоверения о повышении квалификации по курсам: «Антитеррористическая защищенность на объектах (территориях) 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труда и социальной защиты»;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«Программа повышения квалификации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обороне»; «Контрактная система в сфере закупок товаров, работ, услуг для обеспечения Государственных и Муниципальных нужд (44-ФЗ)».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обучился 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пожарно</w:t>
            </w:r>
            <w:proofErr w:type="spellEnd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техническому минимуму по программе для руководителей и ответственных за пожарную безопасность и охране труда по программе для руководителей, специалистов, ЧАК предприятий и организаций</w:t>
            </w:r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7C4EB1" w:rsidRPr="00E463C6" w:rsidRDefault="007C4118" w:rsidP="007C411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7C4118">
              <w:rPr>
                <w:rFonts w:eastAsia="Calibri"/>
                <w:sz w:val="22"/>
                <w:szCs w:val="22"/>
                <w:lang w:eastAsia="en-US"/>
              </w:rPr>
              <w:t xml:space="preserve">татная численность муниципальных служащих Администрации Пролетарского сельского поселения на 2021 – 2023 годы приведена в соответствии с протоколом заседания </w:t>
            </w:r>
            <w:r w:rsidRPr="007C411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Правительства Ростовской области от 27.07.2020 №32. Для поселений численностью до 3 тыс. чел.  норматив составляет 6,5 единиц.</w:t>
            </w:r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7B202F" w:rsidRPr="00723FE2" w:rsidTr="009A019C">
        <w:tc>
          <w:tcPr>
            <w:tcW w:w="567" w:type="dxa"/>
          </w:tcPr>
          <w:p w:rsidR="007B202F" w:rsidRPr="00E463C6" w:rsidRDefault="007B202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B202F" w:rsidRPr="00E463C6" w:rsidRDefault="007B202F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202F" w:rsidRPr="00E463C6" w:rsidRDefault="007B202F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B202F" w:rsidRPr="00491CCA" w:rsidRDefault="007B202F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B202F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B202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B202F" w:rsidRPr="00491CCA" w:rsidRDefault="007B202F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B202F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B202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B202F" w:rsidRPr="008E150F" w:rsidRDefault="007B202F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B202F" w:rsidRPr="00110F43" w:rsidRDefault="007B202F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9E0429">
              <w:rPr>
                <w:sz w:val="21"/>
                <w:szCs w:val="21"/>
              </w:rPr>
              <w:t>2</w:t>
            </w:r>
            <w:r w:rsidR="009C3174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B202F" w:rsidRPr="00E463C6" w:rsidRDefault="007B202F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7B202F" w:rsidRPr="00E463C6" w:rsidRDefault="00F5466C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7B202F" w:rsidRDefault="007B202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A019C" w:rsidRPr="00723FE2" w:rsidTr="009A019C">
        <w:tc>
          <w:tcPr>
            <w:tcW w:w="567" w:type="dxa"/>
          </w:tcPr>
          <w:p w:rsidR="009A019C" w:rsidRPr="00E463C6" w:rsidRDefault="009A019C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9A019C" w:rsidRPr="00E463C6" w:rsidRDefault="009A019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1.5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9A019C" w:rsidRPr="00E463C6" w:rsidRDefault="009A019C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A019C" w:rsidRPr="00491CCA" w:rsidRDefault="009A019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491CCA" w:rsidRDefault="009A019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8E150F" w:rsidRDefault="009A019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A019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A019C" w:rsidRPr="00E463C6" w:rsidRDefault="009A019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позитивного отношения граждан к муниципальным служащим, повышение 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9A019C" w:rsidRPr="00E463C6" w:rsidRDefault="009A019C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A019C" w:rsidRPr="00723FE2" w:rsidTr="009A019C">
        <w:tc>
          <w:tcPr>
            <w:tcW w:w="567" w:type="dxa"/>
          </w:tcPr>
          <w:p w:rsidR="009A019C" w:rsidRPr="00E463C6" w:rsidRDefault="009A019C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:rsidR="009A019C" w:rsidRDefault="009A019C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9A019C" w:rsidRPr="00E463C6" w:rsidRDefault="009A019C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9A019C" w:rsidRPr="00E463C6" w:rsidRDefault="009A019C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</w:t>
            </w:r>
            <w:r w:rsidRPr="00E463C6">
              <w:rPr>
                <w:sz w:val="22"/>
                <w:szCs w:val="22"/>
              </w:rPr>
              <w:lastRenderedPageBreak/>
              <w:t xml:space="preserve">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A019C" w:rsidRPr="00491CCA" w:rsidRDefault="009A019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491CCA" w:rsidRDefault="009A019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8E150F" w:rsidRDefault="009A019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A019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A019C" w:rsidRPr="009A019C" w:rsidRDefault="009A019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D70CB1" w:rsidRDefault="00D70CB1" w:rsidP="00D70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и все муниципальные служащие в течени</w:t>
            </w:r>
            <w:r w:rsidR="0089149A">
              <w:rPr>
                <w:sz w:val="22"/>
                <w:szCs w:val="22"/>
              </w:rPr>
              <w:t>е</w:t>
            </w:r>
            <w:r w:rsidR="00F5466C">
              <w:rPr>
                <w:sz w:val="22"/>
                <w:szCs w:val="22"/>
              </w:rPr>
              <w:t xml:space="preserve"> 202</w:t>
            </w:r>
            <w:r w:rsidR="007C41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 принимали участие </w:t>
            </w:r>
            <w:r w:rsidRPr="00D70CB1">
              <w:rPr>
                <w:sz w:val="22"/>
                <w:szCs w:val="22"/>
              </w:rPr>
              <w:t xml:space="preserve">в рамках проведения </w:t>
            </w:r>
            <w:r w:rsidRPr="00D70CB1">
              <w:rPr>
                <w:sz w:val="22"/>
                <w:szCs w:val="22"/>
              </w:rPr>
              <w:lastRenderedPageBreak/>
              <w:t xml:space="preserve">семинаров, </w:t>
            </w:r>
            <w:proofErr w:type="spellStart"/>
            <w:r w:rsidRPr="00D70CB1">
              <w:rPr>
                <w:sz w:val="22"/>
                <w:szCs w:val="22"/>
              </w:rPr>
              <w:t>видеосеминаров</w:t>
            </w:r>
            <w:proofErr w:type="spellEnd"/>
            <w:r w:rsidRPr="00D70CB1">
              <w:rPr>
                <w:sz w:val="22"/>
                <w:szCs w:val="22"/>
              </w:rPr>
              <w:t>, тренингов и видеокурсов по различным направлениям деятельности повысили уровень профессиональных компетенций в следующих областях:</w:t>
            </w:r>
          </w:p>
          <w:p w:rsidR="009A019C" w:rsidRPr="002E513B" w:rsidRDefault="00D70CB1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70CB1">
              <w:rPr>
                <w:sz w:val="22"/>
                <w:szCs w:val="22"/>
              </w:rPr>
              <w:t>эффективного осуществления муниципальных закупок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D70CB1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с обращениями граждан и организаций, официально-деловыми письмами,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в том числе с использованием системы электронного документооборота «Дело»</w:t>
            </w:r>
            <w:r>
              <w:rPr>
                <w:sz w:val="22"/>
                <w:szCs w:val="22"/>
              </w:rPr>
              <w:t xml:space="preserve">; </w:t>
            </w:r>
            <w:r w:rsidRPr="00D70CB1">
              <w:rPr>
                <w:sz w:val="22"/>
                <w:szCs w:val="22"/>
              </w:rPr>
              <w:t>благоустройства территории муниципальных образований</w:t>
            </w:r>
            <w:r>
              <w:rPr>
                <w:sz w:val="22"/>
                <w:szCs w:val="22"/>
              </w:rPr>
              <w:t>;</w:t>
            </w:r>
            <w:r w:rsidR="00E4453C">
              <w:t xml:space="preserve"> </w:t>
            </w:r>
            <w:r w:rsidR="00E4453C" w:rsidRPr="00E4453C">
              <w:rPr>
                <w:sz w:val="22"/>
                <w:szCs w:val="22"/>
              </w:rPr>
              <w:t>осуществления проверок в соответствии с законодательством о противодействии коррупции; развития сферы жилищно-коммунального хозяйства на территории муниципального образования, заполнения и предоставления некоторых форм статистической отчетности</w:t>
            </w:r>
            <w:r w:rsidR="00E4453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Подпрограмма 2 муниципальной 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lastRenderedPageBreak/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F41F7" w:rsidRPr="00723FE2" w:rsidTr="009A019C">
        <w:tc>
          <w:tcPr>
            <w:tcW w:w="567" w:type="dxa"/>
          </w:tcPr>
          <w:p w:rsidR="000F41F7" w:rsidRPr="00E463C6" w:rsidRDefault="000F41F7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0F41F7" w:rsidRPr="00E463C6" w:rsidRDefault="000F41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F41F7" w:rsidRPr="00E463C6" w:rsidRDefault="000F41F7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0F41F7" w:rsidRPr="00491CCA" w:rsidRDefault="000F41F7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0F41F7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0F41F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0F41F7" w:rsidRPr="00491CCA" w:rsidRDefault="000F41F7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F41F7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0F41F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0F41F7" w:rsidRPr="008E150F" w:rsidRDefault="000F41F7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0F41F7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0F41F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0F41F7" w:rsidRPr="00E463C6" w:rsidRDefault="000F41F7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0F41F7" w:rsidRPr="00E463C6" w:rsidRDefault="00E94DE9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се нормативно-правовые акты, проекты нормативно-правовых актов и иные информационные ресурсы, подлежащие публикации размещены в средствах массовой информации (в газете «</w:t>
            </w:r>
            <w:proofErr w:type="spellStart"/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  <w:proofErr w:type="gramStart"/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Заключены</w:t>
            </w:r>
            <w:proofErr w:type="gramEnd"/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муниципальных контрактов на сумму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49,4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тыс. рублей.</w:t>
            </w:r>
          </w:p>
        </w:tc>
        <w:tc>
          <w:tcPr>
            <w:tcW w:w="1559" w:type="dxa"/>
          </w:tcPr>
          <w:p w:rsidR="000F41F7" w:rsidRPr="00603A88" w:rsidRDefault="000F41F7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94DE9" w:rsidRPr="00723FE2" w:rsidTr="009A019C">
        <w:tc>
          <w:tcPr>
            <w:tcW w:w="567" w:type="dxa"/>
          </w:tcPr>
          <w:p w:rsidR="00E94DE9" w:rsidRPr="00E463C6" w:rsidRDefault="00E94DE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4DE9" w:rsidRPr="00E463C6" w:rsidRDefault="00E94DE9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="008121A9"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94DE9" w:rsidRPr="00E463C6" w:rsidRDefault="00E94DE9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4DE9" w:rsidRPr="00491CCA" w:rsidRDefault="00E94DE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4DE9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4DE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4DE9" w:rsidRPr="00491CCA" w:rsidRDefault="00E94DE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4DE9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4DE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4DE9" w:rsidRPr="008E150F" w:rsidRDefault="00E94DE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4DE9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4DE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4DE9" w:rsidRPr="00E463C6" w:rsidRDefault="008121A9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94DE9" w:rsidRPr="00E463C6" w:rsidRDefault="008121A9" w:rsidP="008121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информационные ресурсы, подлежащие 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основании муниципального контракт №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1 от 11.01.2021 на сумму 15,6 тыс. рублей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E94DE9" w:rsidRPr="00603A88" w:rsidRDefault="00E94DE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121A9" w:rsidRPr="00723FE2" w:rsidTr="009A019C">
        <w:tc>
          <w:tcPr>
            <w:tcW w:w="567" w:type="dxa"/>
          </w:tcPr>
          <w:p w:rsidR="008121A9" w:rsidRPr="00E463C6" w:rsidRDefault="008121A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8121A9" w:rsidRPr="00E463C6" w:rsidRDefault="008121A9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 xml:space="preserve">Проведение социологических </w:t>
            </w:r>
            <w:r w:rsidRPr="008121A9">
              <w:rPr>
                <w:sz w:val="22"/>
                <w:szCs w:val="22"/>
              </w:rPr>
              <w:lastRenderedPageBreak/>
              <w:t>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121A9" w:rsidRPr="00E463C6" w:rsidRDefault="008121A9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lastRenderedPageBreak/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8121A9" w:rsidRPr="00491CCA" w:rsidRDefault="008121A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491CCA" w:rsidRDefault="008121A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8E150F" w:rsidRDefault="008121A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121A9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121A9" w:rsidRPr="008121A9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организация и проведение социологического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исследования Пролетарского сельского поселения.</w:t>
            </w:r>
          </w:p>
          <w:p w:rsidR="008121A9" w:rsidRPr="008121A9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8121A9" w:rsidRPr="00E463C6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информации об основных социально-бытовых проблемах</w:t>
            </w:r>
            <w:proofErr w:type="gramStart"/>
            <w:r w:rsidRPr="008121A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8121A9" w:rsidRPr="00E463C6" w:rsidRDefault="008121A9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8121A9" w:rsidRDefault="008121A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8121A9" w:rsidRPr="00723FE2" w:rsidTr="009A019C">
        <w:tc>
          <w:tcPr>
            <w:tcW w:w="567" w:type="dxa"/>
          </w:tcPr>
          <w:p w:rsidR="008121A9" w:rsidRPr="00E463C6" w:rsidRDefault="008121A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8121A9" w:rsidRDefault="008121A9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E97E28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8121A9" w:rsidRPr="00E463C6" w:rsidRDefault="008121A9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121A9" w:rsidRPr="00E463C6" w:rsidRDefault="008121A9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8121A9" w:rsidRPr="00491CCA" w:rsidRDefault="008121A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491CCA" w:rsidRDefault="008121A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8E150F" w:rsidRDefault="008121A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121A9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121A9" w:rsidRPr="00FD1385" w:rsidRDefault="008121A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оздание условий по обеспечению доступа населения Пролетарского сельского поселения к 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8121A9" w:rsidRDefault="008121A9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8121A9" w:rsidRDefault="008121A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 xml:space="preserve">Социальная поддержка лиц из числа муниципальных служащих Пролетарского 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lastRenderedPageBreak/>
              <w:t>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</w:t>
            </w:r>
            <w:r w:rsidRPr="00A75DC5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Pr="00E463C6" w:rsidRDefault="00E97E2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E463C6" w:rsidRDefault="00E97E2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491CCA" w:rsidRDefault="00E97E28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491CCA" w:rsidRDefault="00E97E28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8E150F" w:rsidRDefault="00E97E28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7E28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7E28" w:rsidRPr="00E463C6" w:rsidRDefault="00E97E2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97E28" w:rsidRPr="00E463C6" w:rsidRDefault="00E97E28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трем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:rsidR="00E97E28" w:rsidRPr="00E463C6" w:rsidRDefault="00E97E2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97E28" w:rsidRPr="00E463C6" w:rsidRDefault="00E97E2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491CCA" w:rsidRDefault="00E97E28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491CCA" w:rsidRDefault="00E97E28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8E150F" w:rsidRDefault="00E97E28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7E28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7E28" w:rsidRPr="00E97E28" w:rsidRDefault="00E97E2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97E28" w:rsidRDefault="00F5466C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 202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заседани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комиссии по утверждению муниципального стажа и назначения государственной пенсии за выслугу лет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трем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пенсионерам из числа муниципальных служащих Пролетарского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E97E28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836" w:type="dxa"/>
          </w:tcPr>
          <w:p w:rsidR="00CF521C" w:rsidRDefault="00CF521C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CF521C" w:rsidRPr="00AD77EC" w:rsidRDefault="00CF521C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CF521C" w:rsidRPr="00E463C6" w:rsidRDefault="00CF521C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CF521C" w:rsidRPr="00B77438" w:rsidRDefault="00CF521C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CF521C" w:rsidRPr="00E463C6" w:rsidRDefault="00CF521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0A3D5B"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CF521C" w:rsidRPr="00E463C6" w:rsidRDefault="00CF521C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E1A78">
              <w:rPr>
                <w:color w:val="000000"/>
                <w:sz w:val="22"/>
                <w:szCs w:val="22"/>
              </w:rPr>
              <w:t>пециальная оценка услов</w:t>
            </w:r>
            <w:r>
              <w:rPr>
                <w:color w:val="000000"/>
                <w:sz w:val="22"/>
                <w:szCs w:val="22"/>
              </w:rPr>
              <w:t xml:space="preserve">ий труда проведена в 2017 году </w:t>
            </w:r>
            <w:r w:rsidRPr="00AE6718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 xml:space="preserve">15 </w:t>
            </w:r>
            <w:r w:rsidRPr="00AE6718">
              <w:rPr>
                <w:color w:val="000000"/>
                <w:sz w:val="22"/>
                <w:szCs w:val="22"/>
              </w:rPr>
              <w:t>рабочих местах</w:t>
            </w:r>
            <w:r>
              <w:rPr>
                <w:color w:val="000000"/>
                <w:sz w:val="22"/>
                <w:szCs w:val="22"/>
              </w:rPr>
              <w:t xml:space="preserve"> сроком на 5 </w:t>
            </w:r>
            <w:r w:rsidR="00F5466C">
              <w:rPr>
                <w:color w:val="000000"/>
                <w:sz w:val="22"/>
                <w:szCs w:val="22"/>
              </w:rPr>
              <w:t xml:space="preserve">лет </w:t>
            </w:r>
            <w:r>
              <w:rPr>
                <w:color w:val="000000"/>
                <w:sz w:val="22"/>
                <w:szCs w:val="22"/>
              </w:rPr>
              <w:t>согласно ТК РФ</w:t>
            </w:r>
            <w:r w:rsidR="00F5466C">
              <w:rPr>
                <w:color w:val="000000"/>
                <w:sz w:val="22"/>
                <w:szCs w:val="22"/>
              </w:rPr>
              <w:t>.</w:t>
            </w:r>
            <w:r w:rsidR="00F5466C">
              <w:t xml:space="preserve"> </w:t>
            </w:r>
            <w:r w:rsidR="00F5466C" w:rsidRPr="00F5466C">
              <w:rPr>
                <w:color w:val="000000"/>
                <w:sz w:val="22"/>
                <w:szCs w:val="22"/>
              </w:rPr>
              <w:t>Планируемый срок проведения, следующий оценки труда в 2022 году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CF521C" w:rsidRPr="00E463C6" w:rsidRDefault="00CF521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CF521C" w:rsidRPr="00E463C6" w:rsidRDefault="00CF521C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проведена диспансеризация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CF521C" w:rsidRPr="00473417" w:rsidRDefault="00CF521C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 xml:space="preserve">рофилактика и 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lastRenderedPageBreak/>
              <w:t>снижение профессионального риска»</w:t>
            </w:r>
          </w:p>
          <w:p w:rsidR="00CF521C" w:rsidRPr="00E77772" w:rsidRDefault="00CF521C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F521C" w:rsidRPr="00E463C6" w:rsidRDefault="00CF521C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укрепление и сохранение здоровья </w:t>
            </w:r>
            <w:r>
              <w:rPr>
                <w:color w:val="000000"/>
                <w:sz w:val="22"/>
                <w:szCs w:val="22"/>
              </w:rPr>
              <w:lastRenderedPageBreak/>
              <w:t>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CF521C" w:rsidRDefault="00CF521C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ежегодно проводится диспансеризация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муниципальных служащих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9C3174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7C4118">
        <w:rPr>
          <w:b/>
          <w:szCs w:val="28"/>
        </w:rPr>
        <w:t>1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7C411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986" w:type="dxa"/>
          </w:tcPr>
          <w:p w:rsidR="0059758F" w:rsidRPr="000F2C12" w:rsidRDefault="007C4118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559" w:type="dxa"/>
          </w:tcPr>
          <w:p w:rsidR="0059758F" w:rsidRPr="000F2C12" w:rsidRDefault="007C4118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414,0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E04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9E0429" w:rsidRPr="000F2C12" w:rsidRDefault="009E04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E0429" w:rsidRPr="000F2C12" w:rsidRDefault="009E04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E0429" w:rsidRPr="009E0429" w:rsidRDefault="007C4118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986" w:type="dxa"/>
          </w:tcPr>
          <w:p w:rsidR="009E0429" w:rsidRPr="009E0429" w:rsidRDefault="007C4118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559" w:type="dxa"/>
          </w:tcPr>
          <w:p w:rsidR="009E0429" w:rsidRPr="009E0429" w:rsidRDefault="007C4118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414,0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7C4118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59758F" w:rsidRPr="00445B7D" w:rsidRDefault="007C4118" w:rsidP="00336D5F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59758F" w:rsidRPr="00445B7D" w:rsidRDefault="007C4118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7C4118" w:rsidP="00746A7C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EA54E9" w:rsidRPr="00EA54E9" w:rsidRDefault="007C4118" w:rsidP="00746A7C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EA54E9" w:rsidRPr="00EA54E9" w:rsidRDefault="007C411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7C4118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125B49" w:rsidRPr="00445B7D" w:rsidRDefault="007C4118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125B49" w:rsidRPr="00445B7D" w:rsidRDefault="007C411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</w:tr>
      <w:tr w:rsidR="00125B4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7C4118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125B49" w:rsidRPr="004E66F2" w:rsidRDefault="007E4848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125B49" w:rsidRPr="004E66F2" w:rsidRDefault="007E4848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</w:tr>
      <w:tr w:rsidR="00292B9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292B99" w:rsidRPr="000F2C12" w:rsidRDefault="00292B9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92B99" w:rsidRPr="000F2C12" w:rsidRDefault="00292B9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7E484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986" w:type="dxa"/>
          </w:tcPr>
          <w:p w:rsidR="0059758F" w:rsidRPr="000F2C12" w:rsidRDefault="007E484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559" w:type="dxa"/>
          </w:tcPr>
          <w:p w:rsidR="0059758F" w:rsidRPr="000F2C12" w:rsidRDefault="007E484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65,0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7E4848" w:rsidP="001E7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986" w:type="dxa"/>
          </w:tcPr>
          <w:p w:rsidR="007E4848" w:rsidRPr="007E4848" w:rsidRDefault="007E4848" w:rsidP="001E7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559" w:type="dxa"/>
          </w:tcPr>
          <w:p w:rsidR="007E4848" w:rsidRPr="007E4848" w:rsidRDefault="007E4848" w:rsidP="001E7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65,0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7E484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986" w:type="dxa"/>
          </w:tcPr>
          <w:p w:rsidR="00563C06" w:rsidRPr="00383D74" w:rsidRDefault="007E484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559" w:type="dxa"/>
          </w:tcPr>
          <w:p w:rsidR="00563C06" w:rsidRPr="00383D74" w:rsidRDefault="007E484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49,4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7E484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986" w:type="dxa"/>
          </w:tcPr>
          <w:p w:rsidR="00EA54E9" w:rsidRPr="00EA54E9" w:rsidRDefault="007E484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559" w:type="dxa"/>
          </w:tcPr>
          <w:p w:rsidR="00EA54E9" w:rsidRPr="00EA54E9" w:rsidRDefault="007E484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49,4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7E4848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2E2782" w:rsidRPr="002E2782" w:rsidRDefault="007E4848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2E2782" w:rsidRPr="002E2782" w:rsidRDefault="007E4848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7E484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59758F" w:rsidRPr="000F2C12" w:rsidRDefault="007E484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59758F" w:rsidRPr="000F2C12" w:rsidRDefault="007E484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07F2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="00563C06">
              <w:t xml:space="preserve"> </w:t>
            </w:r>
            <w:r w:rsidR="00563C06"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07F2" w:rsidRPr="00563C06" w:rsidRDefault="007E4848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EA07F2" w:rsidRPr="00563C06" w:rsidRDefault="007E4848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EA07F2" w:rsidRPr="00563C06" w:rsidRDefault="007E4848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07F2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07F2" w:rsidRPr="000F2C12" w:rsidRDefault="007E4848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EA07F2" w:rsidRPr="000F2C12" w:rsidRDefault="007E4848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EA07F2" w:rsidRPr="000F2C12" w:rsidRDefault="007E4848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7E4848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EA54E9" w:rsidRPr="00EA54E9" w:rsidRDefault="007E4848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EA54E9" w:rsidRPr="00EA54E9" w:rsidRDefault="007E4848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7E4848" w:rsidRPr="005C1906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7E4848" w:rsidRPr="00EA54E9" w:rsidRDefault="007E4848" w:rsidP="001E7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7E4848" w:rsidRPr="00EA54E9" w:rsidRDefault="007E4848" w:rsidP="001E7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7E4848" w:rsidRPr="00EA54E9" w:rsidRDefault="007E4848" w:rsidP="001E7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F5098D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F5098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EA54E9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C26355" w:rsidRDefault="00F5098D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509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C26355" w:rsidRDefault="00EA54E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509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F5098D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F5098D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FC1777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CE6146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6146">
              <w:rPr>
                <w:color w:val="000000"/>
                <w:sz w:val="22"/>
                <w:szCs w:val="22"/>
              </w:rPr>
              <w:t>3 муниципальных служащих прошли краткосрочные курсы повышения квалификации.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A3F22">
              <w:rPr>
                <w:color w:val="000000"/>
                <w:sz w:val="22"/>
                <w:szCs w:val="22"/>
              </w:rPr>
              <w:t>отклонение от  планового значения показателя связано с кадровыми и</w:t>
            </w:r>
            <w:r>
              <w:rPr>
                <w:color w:val="000000"/>
                <w:sz w:val="22"/>
                <w:szCs w:val="22"/>
              </w:rPr>
              <w:t>зменениями 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236BEA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236BEA" w:rsidP="00236B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двум пенсионерам отказано в судебном порядке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576673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EA54E9" w:rsidRPr="0007500E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B452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Default="00EA54E9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в 2017 году на 15 рабочих местах сроком на 5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351D2B">
              <w:rPr>
                <w:color w:val="000000"/>
                <w:sz w:val="22"/>
                <w:szCs w:val="22"/>
              </w:rPr>
              <w:t xml:space="preserve">согласно ТК РФ 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CE6146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21FCE">
              <w:rPr>
                <w:color w:val="000000"/>
                <w:sz w:val="22"/>
                <w:szCs w:val="22"/>
              </w:rPr>
              <w:t>превышение планового значения показателя связано с повышением конкурентоспособности муниципальной слу</w:t>
            </w:r>
            <w:r>
              <w:rPr>
                <w:color w:val="000000"/>
                <w:sz w:val="22"/>
                <w:szCs w:val="22"/>
              </w:rPr>
              <w:t>жбы и с направлением муниципальн</w:t>
            </w:r>
            <w:r w:rsidRPr="00D21FCE">
              <w:rPr>
                <w:color w:val="000000"/>
                <w:sz w:val="22"/>
                <w:szCs w:val="22"/>
              </w:rPr>
              <w:t>ых служащих на прохождение повышения квалификации по дополнительн</w:t>
            </w:r>
            <w:r>
              <w:rPr>
                <w:color w:val="000000"/>
                <w:sz w:val="22"/>
                <w:szCs w:val="22"/>
              </w:rPr>
              <w:t>ым программам, изучением внесен</w:t>
            </w:r>
            <w:r w:rsidRPr="00D21FCE">
              <w:rPr>
                <w:color w:val="000000"/>
                <w:sz w:val="22"/>
                <w:szCs w:val="22"/>
              </w:rPr>
              <w:t>ных изменений в законодательство</w:t>
            </w:r>
          </w:p>
        </w:tc>
      </w:tr>
      <w:tr w:rsidR="00EA54E9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09142B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80370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32E23"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032E23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 w:rsidR="00F913F7"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="00F913F7"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96" w:rsidRPr="00C96396" w:rsidRDefault="00C96396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9142B" w:rsidRPr="00C96396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C4939">
              <w:rPr>
                <w:color w:val="000000"/>
                <w:sz w:val="22"/>
                <w:szCs w:val="22"/>
              </w:rPr>
              <w:t>0</w:t>
            </w:r>
          </w:p>
          <w:p w:rsidR="0009142B" w:rsidRPr="00C96396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C96396" w:rsidRDefault="00AC4939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142B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80370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A659F"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0A659F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 w:rsidR="00F913F7"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="00F913F7"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Default="00B4526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EA54E9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973D5C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973D5C" w:rsidP="00A033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назначена ежемесячная доплата к государственной </w:t>
            </w:r>
            <w:proofErr w:type="gramStart"/>
            <w:r>
              <w:rPr>
                <w:color w:val="000000"/>
                <w:sz w:val="22"/>
                <w:szCs w:val="22"/>
              </w:rPr>
              <w:t>пенсии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03354">
              <w:rPr>
                <w:color w:val="000000"/>
                <w:sz w:val="22"/>
                <w:szCs w:val="22"/>
              </w:rPr>
              <w:t>бывшему муниципальному служащему на</w:t>
            </w:r>
            <w:r>
              <w:rPr>
                <w:color w:val="000000"/>
                <w:sz w:val="22"/>
                <w:szCs w:val="22"/>
              </w:rPr>
              <w:t xml:space="preserve"> основании постановления Администрации </w:t>
            </w:r>
            <w:r w:rsidR="00A03354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ролетарского сельского поселения от 12.11.2021 №8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A2" w:rsidRDefault="00401AA2">
      <w:r>
        <w:separator/>
      </w:r>
    </w:p>
  </w:endnote>
  <w:endnote w:type="continuationSeparator" w:id="0">
    <w:p w:rsidR="00401AA2" w:rsidRDefault="004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Pr="00E463C6" w:rsidRDefault="00E63515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7E187A">
      <w:rPr>
        <w:noProof/>
        <w:sz w:val="20"/>
        <w:szCs w:val="20"/>
      </w:rPr>
      <w:t>20</w:t>
    </w:r>
    <w:r w:rsidRPr="00E463C6">
      <w:rPr>
        <w:sz w:val="20"/>
        <w:szCs w:val="20"/>
      </w:rPr>
      <w:fldChar w:fldCharType="end"/>
    </w:r>
  </w:p>
  <w:p w:rsidR="00E63515" w:rsidRDefault="00E635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Pr="001D269D" w:rsidRDefault="00E63515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D33D6C">
      <w:rPr>
        <w:noProof/>
        <w:sz w:val="20"/>
        <w:szCs w:val="20"/>
      </w:rPr>
      <w:t>2</w:t>
    </w:r>
    <w:r w:rsidRPr="001D269D">
      <w:rPr>
        <w:sz w:val="20"/>
        <w:szCs w:val="20"/>
      </w:rPr>
      <w:fldChar w:fldCharType="end"/>
    </w:r>
  </w:p>
  <w:p w:rsidR="00E63515" w:rsidRDefault="00E635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63515" w:rsidRDefault="00E6351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E187A">
      <w:rPr>
        <w:noProof/>
      </w:rPr>
      <w:t>21</w:t>
    </w:r>
    <w:r>
      <w:fldChar w:fldCharType="end"/>
    </w:r>
  </w:p>
  <w:p w:rsidR="00E63515" w:rsidRDefault="00E635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A2" w:rsidRDefault="00401AA2">
      <w:r>
        <w:separator/>
      </w:r>
    </w:p>
  </w:footnote>
  <w:footnote w:type="continuationSeparator" w:id="0">
    <w:p w:rsidR="00401AA2" w:rsidRDefault="0040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63515" w:rsidRDefault="00E6351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7565"/>
    <w:rsid w:val="00367C58"/>
    <w:rsid w:val="00370F09"/>
    <w:rsid w:val="00370F53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1AA2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E186E"/>
    <w:rsid w:val="004E22B5"/>
    <w:rsid w:val="004E4018"/>
    <w:rsid w:val="004E606F"/>
    <w:rsid w:val="004E66F2"/>
    <w:rsid w:val="004E6C7D"/>
    <w:rsid w:val="004F0C34"/>
    <w:rsid w:val="004F1343"/>
    <w:rsid w:val="004F161E"/>
    <w:rsid w:val="004F2456"/>
    <w:rsid w:val="004F5F9D"/>
    <w:rsid w:val="00503E7D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F1BD0"/>
    <w:rsid w:val="006F2BD5"/>
    <w:rsid w:val="006F34BB"/>
    <w:rsid w:val="006F4866"/>
    <w:rsid w:val="006F7A42"/>
    <w:rsid w:val="00700535"/>
    <w:rsid w:val="007012F2"/>
    <w:rsid w:val="007039DD"/>
    <w:rsid w:val="00706650"/>
    <w:rsid w:val="00706CA0"/>
    <w:rsid w:val="00707F1F"/>
    <w:rsid w:val="007110D5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118"/>
    <w:rsid w:val="007C4EB1"/>
    <w:rsid w:val="007C53ED"/>
    <w:rsid w:val="007D1F08"/>
    <w:rsid w:val="007D1F1F"/>
    <w:rsid w:val="007D4DAE"/>
    <w:rsid w:val="007E014C"/>
    <w:rsid w:val="007E187A"/>
    <w:rsid w:val="007E32E9"/>
    <w:rsid w:val="007E3D84"/>
    <w:rsid w:val="007E4848"/>
    <w:rsid w:val="007E5139"/>
    <w:rsid w:val="007E516A"/>
    <w:rsid w:val="007E6571"/>
    <w:rsid w:val="007E7D4C"/>
    <w:rsid w:val="007F0598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480A"/>
    <w:rsid w:val="009C6C84"/>
    <w:rsid w:val="009C799E"/>
    <w:rsid w:val="009C7D55"/>
    <w:rsid w:val="009D125D"/>
    <w:rsid w:val="009D29BB"/>
    <w:rsid w:val="009D34AA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2D37"/>
    <w:rsid w:val="00B84080"/>
    <w:rsid w:val="00B8658B"/>
    <w:rsid w:val="00B86884"/>
    <w:rsid w:val="00B87DDC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2F34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3D6C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6D14"/>
    <w:rsid w:val="00DE7035"/>
    <w:rsid w:val="00DE7F02"/>
    <w:rsid w:val="00DF075A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2A1D"/>
    <w:rsid w:val="00E72F14"/>
    <w:rsid w:val="00E742BE"/>
    <w:rsid w:val="00E75627"/>
    <w:rsid w:val="00E7635D"/>
    <w:rsid w:val="00E76906"/>
    <w:rsid w:val="00E8039E"/>
    <w:rsid w:val="00E80713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6193"/>
    <w:rsid w:val="00ED768D"/>
    <w:rsid w:val="00EE035F"/>
    <w:rsid w:val="00EE2938"/>
    <w:rsid w:val="00EE5628"/>
    <w:rsid w:val="00EF0651"/>
    <w:rsid w:val="00EF177C"/>
    <w:rsid w:val="00EF2B19"/>
    <w:rsid w:val="00EF2E32"/>
    <w:rsid w:val="00F00C76"/>
    <w:rsid w:val="00F00DFC"/>
    <w:rsid w:val="00F034F1"/>
    <w:rsid w:val="00F07BAE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652E"/>
    <w:rsid w:val="00F97D3F"/>
    <w:rsid w:val="00FA027C"/>
    <w:rsid w:val="00FA0842"/>
    <w:rsid w:val="00FA4EE3"/>
    <w:rsid w:val="00FA55BF"/>
    <w:rsid w:val="00FA5630"/>
    <w:rsid w:val="00FA649B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E0148"/>
    <w:rsid w:val="00FE1DE3"/>
    <w:rsid w:val="00FE31A4"/>
    <w:rsid w:val="00FE320D"/>
    <w:rsid w:val="00FE4480"/>
    <w:rsid w:val="00FE4757"/>
    <w:rsid w:val="00FE6074"/>
    <w:rsid w:val="00FE6BFA"/>
    <w:rsid w:val="00FE6FCB"/>
    <w:rsid w:val="00FF0188"/>
    <w:rsid w:val="00FF1800"/>
    <w:rsid w:val="00FF24BF"/>
    <w:rsid w:val="00FF3F70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0B9A-27EC-4202-B088-83DE7EF5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6348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12</cp:revision>
  <cp:lastPrinted>2021-03-24T06:01:00Z</cp:lastPrinted>
  <dcterms:created xsi:type="dcterms:W3CDTF">2021-03-24T06:16:00Z</dcterms:created>
  <dcterms:modified xsi:type="dcterms:W3CDTF">2022-03-28T08:10:00Z</dcterms:modified>
</cp:coreProperties>
</file>