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0E57" w:rsidRDefault="00AA0533" w:rsidP="00AA0533">
      <w:pPr>
        <w:pStyle w:val="af"/>
        <w:keepNext w:val="0"/>
        <w:suppressAutoHyphens w:val="0"/>
        <w:spacing w:before="0" w:after="0" w:line="240" w:lineRule="auto"/>
        <w:jc w:val="right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  <w:r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  <w:t>проект</w:t>
      </w:r>
    </w:p>
    <w:p w:rsidR="009F3A5D" w:rsidRPr="003D61C7" w:rsidRDefault="00A400F0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  <w:t>РОССИЙСКАЯ ФЕДЕРАЦИЯ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АДМИНИСТРАЦИЯ ПРОЛЕТАРСКОГО СЕЛЬСКОГО ПОСЕЛЕНИЯ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КРАСНОСУЛИНСКОГО РАЙОНА РОСТОВСКОЙ ОБЛАСТИ</w:t>
      </w: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</w:p>
    <w:p w:rsidR="005A7FA1" w:rsidRDefault="005A7FA1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  <w:t>ПОСТАНОВЛЕНИЕ</w:t>
      </w:r>
    </w:p>
    <w:p w:rsidR="00B67387" w:rsidRDefault="00B6738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0E57" w:rsidRDefault="00F20E5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AA0533">
        <w:rPr>
          <w:rFonts w:ascii="Times New Roman" w:hAnsi="Times New Roman"/>
          <w:bCs/>
          <w:sz w:val="24"/>
          <w:szCs w:val="24"/>
        </w:rPr>
        <w:t>_____</w:t>
      </w:r>
      <w:r w:rsidR="005A7FA1">
        <w:rPr>
          <w:rFonts w:ascii="Times New Roman" w:hAnsi="Times New Roman"/>
          <w:bCs/>
          <w:sz w:val="24"/>
          <w:szCs w:val="24"/>
        </w:rPr>
        <w:t>.</w:t>
      </w:r>
      <w:r w:rsidR="004E61E4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</w:t>
      </w:r>
      <w:r w:rsidR="0035624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3A5D" w:rsidRPr="001A47F1">
        <w:rPr>
          <w:rFonts w:ascii="Times New Roman" w:hAnsi="Times New Roman"/>
          <w:bCs/>
          <w:sz w:val="24"/>
          <w:szCs w:val="24"/>
        </w:rPr>
        <w:t xml:space="preserve"> № </w:t>
      </w:r>
      <w:r w:rsidR="00AA0533">
        <w:rPr>
          <w:rFonts w:ascii="Times New Roman" w:hAnsi="Times New Roman"/>
          <w:bCs/>
          <w:sz w:val="24"/>
          <w:szCs w:val="24"/>
        </w:rPr>
        <w:t>___</w:t>
      </w:r>
    </w:p>
    <w:p w:rsidR="00D14C8A" w:rsidRDefault="00D14C8A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3A5D" w:rsidRPr="001A47F1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47F1">
        <w:rPr>
          <w:rFonts w:ascii="Times New Roman" w:hAnsi="Times New Roman"/>
          <w:bCs/>
          <w:sz w:val="24"/>
          <w:szCs w:val="24"/>
        </w:rPr>
        <w:t xml:space="preserve">х. </w:t>
      </w:r>
      <w:r w:rsidR="00A400F0" w:rsidRPr="001A47F1">
        <w:rPr>
          <w:rFonts w:ascii="Times New Roman" w:hAnsi="Times New Roman"/>
          <w:bCs/>
          <w:sz w:val="24"/>
          <w:szCs w:val="24"/>
        </w:rPr>
        <w:t>Пролетарка</w:t>
      </w:r>
    </w:p>
    <w:p w:rsidR="009F3A5D" w:rsidRPr="003554E5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025A" w:rsidRDefault="000B025A" w:rsidP="009F3A5D">
      <w:pPr>
        <w:tabs>
          <w:tab w:val="center" w:pos="3686"/>
          <w:tab w:val="right" w:pos="7938"/>
        </w:tabs>
        <w:spacing w:after="0" w:line="240" w:lineRule="auto"/>
        <w:ind w:right="4932"/>
        <w:jc w:val="both"/>
        <w:rPr>
          <w:rFonts w:ascii="Times New Roman" w:hAnsi="Times New Roman"/>
          <w:bCs/>
          <w:sz w:val="24"/>
          <w:szCs w:val="24"/>
        </w:rPr>
      </w:pP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Пролетарского сельского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0B025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3562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D14C8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 от 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.08.2007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бюджетном процессе в муниципальном образовании «Пролетарское сельское поселение»», а также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536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Пролетарского сельского поселения </w:t>
      </w:r>
      <w:proofErr w:type="spellStart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ст. 3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Пролетарское сельское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806742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356243" w:rsidRDefault="00356243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D14C8A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Пролетарского сельского псоеления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А.Н.Богатых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D14C8A" w:rsidRDefault="00D14C8A" w:rsidP="009F3A5D">
      <w:pPr>
        <w:autoSpaceDE w:val="0"/>
        <w:ind w:firstLine="540"/>
        <w:rPr>
          <w:sz w:val="24"/>
          <w:szCs w:val="24"/>
        </w:rPr>
      </w:pPr>
    </w:p>
    <w:p w:rsidR="009F3A5D" w:rsidRPr="003554E5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806742">
      <w:pPr>
        <w:pStyle w:val="af4"/>
        <w:ind w:left="5954"/>
        <w:jc w:val="both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t>Приложение</w:t>
      </w:r>
    </w:p>
    <w:p w:rsidR="00260D45" w:rsidRPr="00B515E2" w:rsidRDefault="00D14C8A" w:rsidP="00001D3B">
      <w:pPr>
        <w:pStyle w:val="af4"/>
        <w:ind w:left="59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3C10E5" w:rsidRPr="00352176">
        <w:rPr>
          <w:rFonts w:ascii="Times New Roman" w:hAnsi="Times New Roman" w:cs="Times New Roman"/>
        </w:rPr>
        <w:t xml:space="preserve">Пролетарского сельского поселения </w:t>
      </w:r>
      <w:r w:rsidR="00AA0533">
        <w:rPr>
          <w:rFonts w:ascii="Times New Roman" w:hAnsi="Times New Roman" w:cs="Times New Roman"/>
        </w:rPr>
        <w:t>____</w:t>
      </w:r>
      <w:r w:rsidR="00F20E57">
        <w:rPr>
          <w:rFonts w:ascii="Times New Roman" w:hAnsi="Times New Roman" w:cs="Times New Roman"/>
        </w:rPr>
        <w:t>.202</w:t>
      </w:r>
      <w:r w:rsidR="00356243">
        <w:rPr>
          <w:rFonts w:ascii="Times New Roman" w:hAnsi="Times New Roman" w:cs="Times New Roman"/>
        </w:rPr>
        <w:t>2</w:t>
      </w:r>
      <w:r w:rsidR="00E4600B" w:rsidRPr="00352176">
        <w:rPr>
          <w:rFonts w:ascii="Times New Roman" w:hAnsi="Times New Roman" w:cs="Times New Roman"/>
        </w:rPr>
        <w:t xml:space="preserve"> №</w:t>
      </w:r>
      <w:r w:rsidR="00B20563" w:rsidRPr="00352176">
        <w:rPr>
          <w:rFonts w:ascii="Times New Roman" w:hAnsi="Times New Roman" w:cs="Times New Roman"/>
        </w:rPr>
        <w:t xml:space="preserve"> </w:t>
      </w:r>
      <w:r w:rsidR="00AA0533">
        <w:rPr>
          <w:rFonts w:ascii="Times New Roman" w:hAnsi="Times New Roman" w:cs="Times New Roman"/>
        </w:rPr>
        <w:t>___</w:t>
      </w:r>
      <w:bookmarkStart w:id="1" w:name="_GoBack"/>
      <w:bookmarkEnd w:id="1"/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3C10E5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356243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бюджетной </w:t>
      </w:r>
      <w:r w:rsidR="003C10E5"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налоговой политики</w:t>
      </w:r>
      <w:r w:rsid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C8A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Пролетар</w:t>
      </w:r>
      <w:r w:rsidR="00E80A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 </w:t>
      </w:r>
    </w:p>
    <w:p w:rsid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3562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632E" w:rsidRDefault="00F20E57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Настоящие О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сновные направления сформированы с учетом </w:t>
      </w:r>
      <w:r w:rsidR="00356243" w:rsidRP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приоритетов государственной политики 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Федерации,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и от 21.07.2020 № 474 «О национальных целях развития Российской Федерации на период до 2030 года», итогов реализации бюдж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етной и налоговой политики в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основных направлений</w:t>
      </w:r>
      <w:proofErr w:type="gramEnd"/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бюджетной, налоговой 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таможенно-тарифной политики Российской Федерации на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бюджетной и налоговой политики Ростовской области на 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63D" w:rsidRPr="0025363D" w:rsidRDefault="001B632E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 и на плановый период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бюджетной и налоговой политики 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20</w:t>
      </w:r>
      <w:r w:rsidR="00905B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562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202</w:t>
      </w:r>
      <w:r w:rsidR="003562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годах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7E24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условиях постепенной адаптации экономики к принятым в 2020 году ограничительным мерам, связанным с распространением </w:t>
      </w:r>
      <w:proofErr w:type="spellStart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инфекции, в 2021 году продолжилась реализация бюджетной политики, направленной на достижение социальной стабильности и устойчивости бюджетной системы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="00657E24" w:rsidRP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D5B5B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Исполнение 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обеспечено в 2021 году с положительными результатами.</w:t>
      </w:r>
    </w:p>
    <w:p w:rsidR="00DD5B5B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доходам показатели исполнены в объеме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20 012,2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с ростом от 2020 года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59,8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A11" w:rsidRDefault="001D1A1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доходы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поступили в объеме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8 561,4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рублей, что выше плана на 7,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процента, 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уменьшением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2020 году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1 245,7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14,6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процента.</w:t>
      </w:r>
    </w:p>
    <w:p w:rsidR="00DD5B5B" w:rsidRDefault="00E872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расходам исполнение составило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20 735,7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99,4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 к плану и с ростом от 2020 года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61,5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процента. По результатам исполнения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сложился дефицит в сумме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723,5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Увеличению налогового потенциала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 поселения</w:t>
      </w: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способствовала проводимая налоговая политика за счет повышения инвестиционной активности, создания условий справедливой конкурентной среды, сокращения теневого сектора, совершенствования и оптимизации системы налогового администрирования, стимулирования развития малого и среднего предпринимательства через специальные налоговые режимы, сохранения всех предоставляемых эффективных налоговых льгот.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сфере бюджетных расходов приоритетным направлением являлось финансовое обеспечение мероприятий, связанных с ликвидацией последствий распространения </w:t>
      </w:r>
      <w:proofErr w:type="spellStart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инфекции, реализация муниципальных программ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полном объеме выполнены обязательства перед гражданами в части предоставления законодательно установленных социальных 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2022 году с учетом обострения геополитической ситуации в Ростовской области </w:t>
      </w: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обеспечена реализация Плана первоочередных действий по обеспечению устойчивого развития Ростовской области в условиях внешнего </w:t>
      </w:r>
      <w:proofErr w:type="spellStart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санкционного</w:t>
      </w:r>
      <w:proofErr w:type="spellEnd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давления, утвержденного распоряжением Губернатора Ростовской области от 12.03.2022 № 49.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его реализации первоначально принятые бюджетные параметры были переформатированы, создан финансовый резерв в размере до 3 процентов собственных налоговых и неналоговых доходов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обеспечение первоочередных непредвиденных расходов, проведена оптимизация средств по отдельным направлениям.</w:t>
      </w:r>
    </w:p>
    <w:p w:rsidR="00E8728A" w:rsidRDefault="008E49D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качестве дополнительных мер поддержки экономики были применены механизмы налогового стимулирования, сокращены сроки оплаты поставленной продукции (выполненных работ, оказанных услуг) по муниципальным контрактам, увеличены авансовые платежи.</w:t>
      </w:r>
    </w:p>
    <w:p w:rsidR="008E49DD" w:rsidRDefault="008E49D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масштабных антикризисных мер, принятых на федеральном,  региональном и муниципальном уровнях, способствовала стабильности экономики и сохранению устойчивости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 поселения</w:t>
      </w: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8E49DD" w:rsidRDefault="008E49D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период I полугодия 2022 г. исполнение бюджета </w:t>
      </w:r>
      <w:r w:rsid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обеспечено с положительной динамикой относительно аналогичных показателей прошлого года.</w:t>
      </w:r>
    </w:p>
    <w:p w:rsidR="0039589C" w:rsidRDefault="0039589C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Доходы исполнены в сумме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9 098,5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23,1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 к годовому плану, с ростом фактических поступлений на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218,5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том числе собственные налоговые и неналоговые поступления составили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4 412,3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с ростом от аналогичного периода прошлого года на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136,9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Расходы исполнены в объеме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8 421,5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20,7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плану, с ростом к I полугодию 2021 г. на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73,5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процента.</w:t>
      </w:r>
    </w:p>
    <w:p w:rsidR="00494D56" w:rsidRDefault="00494D5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условиях внешнего </w:t>
      </w:r>
      <w:proofErr w:type="spellStart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санкционного</w:t>
      </w:r>
      <w:proofErr w:type="spellEnd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давления организовано взаимодействие с крупнейшими налогоплательщиками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получения информации, позволяющей оперативно оценивать складывающуюся экономическую ситуацию.</w:t>
      </w:r>
    </w:p>
    <w:p w:rsidR="00E8728A" w:rsidRDefault="00494D5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Главным приоритетом бюджетной политики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по-прежнему остается сбережение здоровья и благополучия людей. Расходы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соци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альную сферу составляют более 7,0</w:t>
      </w: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процентов всех расходов.</w:t>
      </w:r>
    </w:p>
    <w:p w:rsidR="00494D56" w:rsidRPr="00494D56" w:rsidRDefault="00494D56" w:rsidP="00494D5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494D56" w:rsidRDefault="00494D56" w:rsidP="00494D5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Обеспечено увеличение социальных выплат и повышение заработной платы работникам бюджетной сферы в связи с увеличением с 1 июня 2022 г. на 10 процентов величины прожиточного минимума и минимального </w:t>
      </w:r>
      <w:proofErr w:type="gramStart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4D56" w:rsidRDefault="007624A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Учтены расходы на удорожание объектов строительства, реконструкции, капитального ремонта муниципальной собственности, что обусловлено ростом цен на строительные материалы в связи с дефицитом сырья, нарушением поставок, изменением логистики в условиях </w:t>
      </w:r>
      <w:proofErr w:type="spellStart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санкционных</w:t>
      </w:r>
      <w:proofErr w:type="spellEnd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ограничений.</w:t>
      </w:r>
    </w:p>
    <w:p w:rsidR="007624AD" w:rsidRDefault="007624A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необходимом объеме запланированы средства на обеспечение расходных обязательств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реализуемых на условиях </w:t>
      </w:r>
      <w:proofErr w:type="spellStart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 из федерального и областного бюджетов.</w:t>
      </w:r>
      <w:proofErr w:type="gramEnd"/>
    </w:p>
    <w:p w:rsidR="007624AD" w:rsidRPr="007624AD" w:rsidRDefault="007624AD" w:rsidP="007624A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упрощения и ускорения бюджетных процедур в соответствии с Федеральным законом от 09.03.2022 № 53-ФЗ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применяется механизм внесения изменений в сводную бюджетную роспись без внесения изменений в решение о бюджете на цели обеспечения мероприятий</w:t>
      </w:r>
      <w:proofErr w:type="gramEnd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связи с геополитической обстановкой и на иные цели, определенные Правительством Ростовской области и Администрацией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24AD" w:rsidRDefault="007624AD" w:rsidP="007624A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итогам I полугодия 2022 г. социальные обязательства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выполнены в полном объеме.</w:t>
      </w:r>
    </w:p>
    <w:p w:rsidR="00FE6012" w:rsidRDefault="00FE6012" w:rsidP="00FE601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367F" w:rsidRDefault="00BA367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367F" w:rsidRDefault="00BA367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367F" w:rsidRDefault="00BA367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BEF" w:rsidRDefault="00806742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Основные цели и задачи бюджетной</w:t>
      </w:r>
      <w:r w:rsid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63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н</w:t>
      </w:r>
      <w:r w:rsidR="00B94FE4"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650030" w:rsidRDefault="00591BE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FD51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D51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202</w:t>
      </w:r>
      <w:r w:rsidR="00FD51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774CE7" w:rsidRPr="00806742" w:rsidRDefault="00774CE7" w:rsidP="0080674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0030" w:rsidRDefault="003F7462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Бюджетная и налоговая политика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 поселения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и 2025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12C"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будет соответствовать основным направлениям бюджетной, налоговой и таможенно-тарифной политики Российской Федерации, основным направлениям бюджетной и налоговой политики Ростовской области, сконцентрирована на реализации задач, поставленных Президентом Российской Федерации,  Губернатором Ростовской области и Главой Администрации 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="00FD512C"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D512C" w:rsidRDefault="00FD512C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</w:t>
      </w:r>
    </w:p>
    <w:p w:rsidR="00E20C10" w:rsidRPr="00E20C10" w:rsidRDefault="00E20C10" w:rsidP="00E20C1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главных национальных целей развития страны на указанный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период определены: сохранение населения, здоровье и благополучие людей, создание ком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фортной и безопасной среды для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жизни, и возможностей для самореализации и рас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крытия таланта каждого человека, </w:t>
      </w:r>
      <w:r w:rsidR="00FD512C"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условий для достойного, эффективного труда и успешного предпринимательства, внедрение цифровой трансформации.</w:t>
      </w:r>
    </w:p>
    <w:p w:rsidR="00591BEF" w:rsidRDefault="000E3E90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Параметры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202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  <w:r w:rsidR="00CB28EE" w:rsidRP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сформированы на основе прогноза социально-экономического развития 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="00CB28EE" w:rsidRP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2023 – 2025 годы с учетом предусмотренных основных показателей развития экономики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областного бюджета.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Пролетарском сельском поселении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2023 год и на плановый период до 2025 года сохраняется курс на стимулирование экономической и инвестиционной активности и развитие доходного потенциала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экономического роста.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и задач будет основываться на следующих приоритетах: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1. Реализация существующего 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2.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3. Обеспечение комфортных налоговых условий для отдельных категорий населения, нуждающихся в государственной поддержке.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трехлетней перспективе будет продолжена работа по укреплению доходной базы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за счет наращивания стабильных доходных источников и мобилизации в бюджет имеющихся резервов.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оплаты труда работникам бюджетной сферы планируется согласно указ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07.05.2012 № 597 «О мероприятиях по реализации государственной социальной политики» с учетом необходимости сохранения соотношения 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2023 – 2025</w:t>
      </w:r>
      <w:proofErr w:type="gramEnd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ежегодного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повышения оплаты труда работников муниципальных учреждений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2023 – 2025 годах, утвержденный прогнозом социально-экономического развития Ростовской области на 2023 – 2025 годы.</w:t>
      </w:r>
    </w:p>
    <w:p w:rsidR="009C3845" w:rsidRDefault="00B701D7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планируемым внесением изменений  в статью 1 Федерального закона от 19.06.2000 № 82-ФЗ «О минимальном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оплаты труда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будет предусмотрено повышение расходов на заработную плату низкооплачиваемых работников.</w:t>
      </w:r>
    </w:p>
    <w:p w:rsidR="00B701D7" w:rsidRP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Пролетарском сельском поселении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 прогнозу социально-экономического развития Ростовской области на 2023 – 2025 годы.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  лицам, замещавшим выборные муниципальные должности и должности  муниципальной службы в Пролетарском сельском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462CBC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Продолжится финансовое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бюджетных учреждений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муниципального задания муниципального бюджетного учреждения культуры «Пролетарский  СДК»,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  <w:proofErr w:type="gramEnd"/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Пролетарском сельском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Физическая культура и спорт</w:t>
      </w: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6EC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 данной сфере предусмотрена 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организаци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 проведение физкультурных и спортивных мероприятий в Пролетарском сельском поселении</w:t>
      </w:r>
      <w:r w:rsidR="001506E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, а так же подготовка спортсменов Пролетарского сельского поселения к участию в районных и областных соревнованиях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7A4FE5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Для этих целей запланировано приобретение наградной продукции и </w:t>
      </w:r>
      <w:r w:rsidR="007220B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спортивного инвентаря.</w:t>
      </w:r>
    </w:p>
    <w:p w:rsidR="007928B5" w:rsidRDefault="007928B5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Планирование расходов на дорожное хозяйство осуществляется на основании Решения Собрания депутатов Пролетарского сельского поселения от 28.05.2018 № 78 «О создании муниципального дорожного фонда Пролетарского сельского поселения».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бюджете поселения 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4E549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предусмотрены межбюджетные трансферты, перечисляемые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бюджета 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Красносулинского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бюджету Пролетарского сельского поселения и направляемые на финансирование расходов, связанных с передачей </w:t>
      </w:r>
      <w:proofErr w:type="gramStart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осуществления части полномочий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 местного самоуправления муниципального</w:t>
      </w:r>
      <w:proofErr w:type="gram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«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Красносулинский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органу местного самоуправления «Пролетарское сельское поселение»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числе: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79C8" w:rsidRP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4E549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E549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4E549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годов планируется значительная поддержка жилищно-коммунального хозяйства, в том числе </w:t>
      </w:r>
      <w:proofErr w:type="gramStart"/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79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уличного освещения, содержание и ремонт объектов уличного освещения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содержанию и ремонту объектов благоустройства и мест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мероприятия по уборке мусора и несанкционированных свалок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Повышение эффективности</w:t>
      </w:r>
      <w:r w:rsidR="005E4EA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приоритизация</w:t>
      </w:r>
      <w:proofErr w:type="spellEnd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gramStart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переформатирования структуры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установленных приоритетов;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бюджета</w:t>
      </w:r>
      <w:r w:rsidR="00212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муниципальных программ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928B5" w:rsidRPr="00951936" w:rsidRDefault="004E5497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="007928B5"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привлечение внебюджетных ресурсов, направление средств от приносящей 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года;</w:t>
      </w:r>
    </w:p>
    <w:p w:rsidR="00EB1D7E" w:rsidRPr="00951936" w:rsidRDefault="00EB1D7E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межбюджетных отношений.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подходы</w:t>
      </w:r>
      <w:r w:rsidR="003564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Политика в сфере межбюджетных отношений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будут направлены на содействие сбалансированности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повышение эффективности организации 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бюджетного процесса на муниципальном уровне, обеспечение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расходованием бюджетных средств.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 в решении вопросов местного значения. 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изменениями в Бюджетный кодекс Российской Федерации формирование межбюджетных отношений будет осуществляться с учетом уточнения бюджетных полномочий муниципальных образований, форм, порядков и условий предоставления межбюджетных трансфертов, подходов, связанных с ограничениями по организации бюджетного процесса на муниципальном уровне,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их исполнением и применением мер ответственности к нарушителям.   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BF0807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CE3FB4" w:rsidRDefault="00CE3FB4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EA1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политика будет направлена на обеспечение сбалансированности бюджета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неопределенностью на финансовых рынках осуществление рыночных заимствований планируется осуществлять в минимальном объеме, рассчитывая в первую очередь на собственные доходы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превышения расходов над доходами основным источником финансирования дефицита бюджета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обеспечивающим его сбалансированность, будут выступать заемные средства.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>Привлечение заемных сре</w:t>
      </w:r>
      <w:proofErr w:type="gram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анируется осуществлять в пределах необходимой потребности при минимизации расходов на их обслуживание.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инструментом обеспечения сбалансированности будут являться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бюджетные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кредиты. Привлечение кредитных ресурсов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ликвидностью средств на едином счете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будет также осуществляться с учетом эффективного управления остатками средств на едином счете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Пролетарского сельского поселения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3223D"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муниципального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финансового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7DE0" w:rsidRPr="00137DE0">
        <w:t xml:space="preserve"> </w:t>
      </w:r>
      <w:r w:rsidR="00137DE0" w:rsidRP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применение ведомственных стандартов внутреннего муниципального финансового контроля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подотчетности (подконтрольности) бюджетных расходов;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применение </w:t>
      </w:r>
      <w:proofErr w:type="gramStart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gramEnd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 к планированию и осуществлению контрольной деятельности;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методологической базы осуществления 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внутреннего 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финансового контроля, учет и обобщение результатов контрольной деятельности;</w:t>
      </w: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повышение степени ответственности главных распорядителей и получателей за </w:t>
      </w:r>
      <w:r w:rsid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расходованием бюджетных средств;</w:t>
      </w:r>
    </w:p>
    <w:p w:rsidR="005E4EA1" w:rsidRDefault="005E4EA1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вносимой в реестр контрактов информации, в том числе: в 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</w:t>
      </w:r>
      <w:proofErr w:type="gramStart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</w:t>
      </w:r>
      <w:proofErr w:type="gramEnd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 функции по </w:t>
      </w:r>
      <w:proofErr w:type="gramStart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вносимой в реестр контрактов информации в части реквизитов счета поставщика планируется с 1 июля 2023 года.  </w:t>
      </w:r>
    </w:p>
    <w:p w:rsidR="00AB169B" w:rsidRPr="00AB169B" w:rsidRDefault="00AB169B" w:rsidP="00AB169B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BF0807" w:rsidRDefault="00BF0807" w:rsidP="002322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BF0807" w:rsidSect="006D77D7">
      <w:footerReference w:type="default" r:id="rId9"/>
      <w:pgSz w:w="11907" w:h="16840"/>
      <w:pgMar w:top="568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DE" w:rsidRDefault="00BB70DE">
      <w:pPr>
        <w:spacing w:after="0" w:line="240" w:lineRule="auto"/>
      </w:pPr>
      <w:r>
        <w:separator/>
      </w:r>
    </w:p>
  </w:endnote>
  <w:endnote w:type="continuationSeparator" w:id="0">
    <w:p w:rsidR="00BB70DE" w:rsidRDefault="00B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DE" w:rsidRDefault="00BB70DE">
      <w:pPr>
        <w:spacing w:after="0" w:line="240" w:lineRule="auto"/>
      </w:pPr>
      <w:r>
        <w:separator/>
      </w:r>
    </w:p>
  </w:footnote>
  <w:footnote w:type="continuationSeparator" w:id="0">
    <w:p w:rsidR="00BB70DE" w:rsidRDefault="00BB7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10F"/>
    <w:rsid w:val="00001D3B"/>
    <w:rsid w:val="00014DB9"/>
    <w:rsid w:val="00017F7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71172"/>
    <w:rsid w:val="00071B49"/>
    <w:rsid w:val="00073B23"/>
    <w:rsid w:val="00094DD1"/>
    <w:rsid w:val="00096C24"/>
    <w:rsid w:val="00096D35"/>
    <w:rsid w:val="00096D42"/>
    <w:rsid w:val="000A1961"/>
    <w:rsid w:val="000A2B3A"/>
    <w:rsid w:val="000A6BE5"/>
    <w:rsid w:val="000B025A"/>
    <w:rsid w:val="000C2113"/>
    <w:rsid w:val="000C59E9"/>
    <w:rsid w:val="000D3A61"/>
    <w:rsid w:val="000D5902"/>
    <w:rsid w:val="000E1523"/>
    <w:rsid w:val="000E3E90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2703"/>
    <w:rsid w:val="0025363D"/>
    <w:rsid w:val="0026069E"/>
    <w:rsid w:val="00260D45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410E0"/>
    <w:rsid w:val="003454D0"/>
    <w:rsid w:val="00352176"/>
    <w:rsid w:val="00356243"/>
    <w:rsid w:val="00356447"/>
    <w:rsid w:val="0036343B"/>
    <w:rsid w:val="00363A6A"/>
    <w:rsid w:val="00363F52"/>
    <w:rsid w:val="00370DB8"/>
    <w:rsid w:val="0038095D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8F8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51494"/>
    <w:rsid w:val="00553B37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36A6"/>
    <w:rsid w:val="006300EF"/>
    <w:rsid w:val="006332A1"/>
    <w:rsid w:val="00634146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7E24"/>
    <w:rsid w:val="006644DE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652B"/>
    <w:rsid w:val="007B7FDC"/>
    <w:rsid w:val="007D4DED"/>
    <w:rsid w:val="007E501F"/>
    <w:rsid w:val="007F0408"/>
    <w:rsid w:val="007F4F17"/>
    <w:rsid w:val="00806742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905B51"/>
    <w:rsid w:val="00912D1B"/>
    <w:rsid w:val="009176F5"/>
    <w:rsid w:val="009330E1"/>
    <w:rsid w:val="009477BA"/>
    <w:rsid w:val="00947928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C3845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CB5"/>
    <w:rsid w:val="00A400F0"/>
    <w:rsid w:val="00A421AD"/>
    <w:rsid w:val="00A45AEA"/>
    <w:rsid w:val="00A46BC0"/>
    <w:rsid w:val="00A55DDB"/>
    <w:rsid w:val="00A6436B"/>
    <w:rsid w:val="00A70BB4"/>
    <w:rsid w:val="00A726B2"/>
    <w:rsid w:val="00A76C3B"/>
    <w:rsid w:val="00A87148"/>
    <w:rsid w:val="00A91ACD"/>
    <w:rsid w:val="00A93694"/>
    <w:rsid w:val="00AA0533"/>
    <w:rsid w:val="00AA1E67"/>
    <w:rsid w:val="00AA6317"/>
    <w:rsid w:val="00AA63A6"/>
    <w:rsid w:val="00AA6744"/>
    <w:rsid w:val="00AB169B"/>
    <w:rsid w:val="00AB1EF0"/>
    <w:rsid w:val="00AB4DE7"/>
    <w:rsid w:val="00AB7309"/>
    <w:rsid w:val="00AC0A89"/>
    <w:rsid w:val="00AC1607"/>
    <w:rsid w:val="00AC4A7C"/>
    <w:rsid w:val="00AC7C60"/>
    <w:rsid w:val="00AD546B"/>
    <w:rsid w:val="00AF27CC"/>
    <w:rsid w:val="00AF4E9C"/>
    <w:rsid w:val="00AF7471"/>
    <w:rsid w:val="00AF7AFE"/>
    <w:rsid w:val="00B01AC8"/>
    <w:rsid w:val="00B12EC3"/>
    <w:rsid w:val="00B160B5"/>
    <w:rsid w:val="00B20563"/>
    <w:rsid w:val="00B27931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367F"/>
    <w:rsid w:val="00BA413B"/>
    <w:rsid w:val="00BB70DE"/>
    <w:rsid w:val="00BC0932"/>
    <w:rsid w:val="00BC1EE0"/>
    <w:rsid w:val="00BC33E9"/>
    <w:rsid w:val="00BC365C"/>
    <w:rsid w:val="00BC4940"/>
    <w:rsid w:val="00BD761B"/>
    <w:rsid w:val="00BE1787"/>
    <w:rsid w:val="00BE1DA6"/>
    <w:rsid w:val="00BE2CD8"/>
    <w:rsid w:val="00BF0807"/>
    <w:rsid w:val="00C03B75"/>
    <w:rsid w:val="00C03F34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5922"/>
    <w:rsid w:val="00D41C45"/>
    <w:rsid w:val="00D47353"/>
    <w:rsid w:val="00D54000"/>
    <w:rsid w:val="00D54A86"/>
    <w:rsid w:val="00D553BC"/>
    <w:rsid w:val="00D7168E"/>
    <w:rsid w:val="00D84AF7"/>
    <w:rsid w:val="00D85CD8"/>
    <w:rsid w:val="00D8706D"/>
    <w:rsid w:val="00D87713"/>
    <w:rsid w:val="00D91138"/>
    <w:rsid w:val="00D940AF"/>
    <w:rsid w:val="00DB348B"/>
    <w:rsid w:val="00DD5B5B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52C4"/>
    <w:rsid w:val="00E35816"/>
    <w:rsid w:val="00E37258"/>
    <w:rsid w:val="00E378F2"/>
    <w:rsid w:val="00E41599"/>
    <w:rsid w:val="00E4600B"/>
    <w:rsid w:val="00E512FA"/>
    <w:rsid w:val="00E546EB"/>
    <w:rsid w:val="00E56CFE"/>
    <w:rsid w:val="00E629CD"/>
    <w:rsid w:val="00E639D1"/>
    <w:rsid w:val="00E70A35"/>
    <w:rsid w:val="00E7508A"/>
    <w:rsid w:val="00E80A39"/>
    <w:rsid w:val="00E80E84"/>
    <w:rsid w:val="00E8717E"/>
    <w:rsid w:val="00E8728A"/>
    <w:rsid w:val="00E959D2"/>
    <w:rsid w:val="00EB1D7E"/>
    <w:rsid w:val="00EB40F0"/>
    <w:rsid w:val="00EB51D2"/>
    <w:rsid w:val="00EC759B"/>
    <w:rsid w:val="00ED167F"/>
    <w:rsid w:val="00EE2489"/>
    <w:rsid w:val="00EE2585"/>
    <w:rsid w:val="00EE4533"/>
    <w:rsid w:val="00EF1E92"/>
    <w:rsid w:val="00EF4683"/>
    <w:rsid w:val="00EF5662"/>
    <w:rsid w:val="00EF5C7F"/>
    <w:rsid w:val="00EF7B4B"/>
    <w:rsid w:val="00F0545E"/>
    <w:rsid w:val="00F12C4F"/>
    <w:rsid w:val="00F20E57"/>
    <w:rsid w:val="00F32078"/>
    <w:rsid w:val="00F6570B"/>
    <w:rsid w:val="00F90E71"/>
    <w:rsid w:val="00F927C9"/>
    <w:rsid w:val="00F92A2B"/>
    <w:rsid w:val="00FA673C"/>
    <w:rsid w:val="00FC2827"/>
    <w:rsid w:val="00FC6F40"/>
    <w:rsid w:val="00FC73FB"/>
    <w:rsid w:val="00FD512C"/>
    <w:rsid w:val="00FD672E"/>
    <w:rsid w:val="00FE2A84"/>
    <w:rsid w:val="00FE6012"/>
    <w:rsid w:val="00FF16A5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B338-9AA0-4613-9153-A6EC5628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пользователь</cp:lastModifiedBy>
  <cp:revision>21</cp:revision>
  <cp:lastPrinted>2022-11-07T10:45:00Z</cp:lastPrinted>
  <dcterms:created xsi:type="dcterms:W3CDTF">2022-11-07T05:08:00Z</dcterms:created>
  <dcterms:modified xsi:type="dcterms:W3CDTF">2022-11-07T10:48:00Z</dcterms:modified>
</cp:coreProperties>
</file>