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2A2CB6" w:rsidP="00394FE3">
      <w:pPr>
        <w:jc w:val="right"/>
        <w:rPr>
          <w:i/>
        </w:rPr>
      </w:pPr>
      <w:r w:rsidRPr="00AD6012">
        <w:rPr>
          <w:i/>
        </w:rPr>
        <w:t xml:space="preserve">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CB7D8D">
        <w:t>27.03</w:t>
      </w:r>
      <w:r w:rsidR="006F1BD0">
        <w:t>.</w:t>
      </w:r>
      <w:r w:rsidR="00F3767B">
        <w:t>202</w:t>
      </w:r>
      <w:r w:rsidR="00483AF7">
        <w:t>4</w:t>
      </w:r>
      <w:r w:rsidR="00CF68AD" w:rsidRPr="0004726F">
        <w:t xml:space="preserve">  №</w:t>
      </w:r>
      <w:r w:rsidR="00424B66">
        <w:t xml:space="preserve"> </w:t>
      </w:r>
      <w:r w:rsidR="00CB7D8D">
        <w:t>36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483AF7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483AF7">
        <w:t>3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CB7D8D">
        <w:rPr>
          <w:color w:val="000000"/>
          <w:sz w:val="21"/>
          <w:szCs w:val="21"/>
        </w:rPr>
        <w:t>27.03</w:t>
      </w:r>
      <w:r w:rsidR="00FD41D5">
        <w:rPr>
          <w:color w:val="000000"/>
          <w:sz w:val="21"/>
          <w:szCs w:val="21"/>
        </w:rPr>
        <w:t>.</w:t>
      </w:r>
      <w:r w:rsidR="00F847A2">
        <w:rPr>
          <w:color w:val="000000"/>
          <w:sz w:val="21"/>
          <w:szCs w:val="21"/>
        </w:rPr>
        <w:t>202</w:t>
      </w:r>
      <w:r w:rsidR="00483AF7">
        <w:rPr>
          <w:color w:val="000000"/>
          <w:sz w:val="21"/>
          <w:szCs w:val="21"/>
        </w:rPr>
        <w:t>4</w:t>
      </w:r>
      <w:r w:rsidRPr="006F34BB">
        <w:rPr>
          <w:color w:val="000000"/>
          <w:sz w:val="21"/>
          <w:szCs w:val="21"/>
        </w:rPr>
        <w:t xml:space="preserve"> №</w:t>
      </w:r>
      <w:r w:rsidR="00CB7D8D">
        <w:rPr>
          <w:color w:val="000000"/>
          <w:sz w:val="21"/>
          <w:szCs w:val="21"/>
        </w:rPr>
        <w:t>36</w:t>
      </w:r>
      <w:bookmarkStart w:id="0" w:name="_GoBack"/>
      <w:bookmarkEnd w:id="0"/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483A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483AF7">
        <w:rPr>
          <w:b/>
          <w:color w:val="000000"/>
        </w:rPr>
        <w:t>3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483AF7">
        <w:rPr>
          <w:kern w:val="2"/>
        </w:rPr>
        <w:t>3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483AF7">
        <w:rPr>
          <w:kern w:val="2"/>
        </w:rPr>
        <w:t>3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32733C">
        <w:t>арского сельского поселения от 09</w:t>
      </w:r>
      <w:r w:rsidR="005C3856" w:rsidRPr="00902366">
        <w:t>.1</w:t>
      </w:r>
      <w:r w:rsidR="005C3856">
        <w:t>2</w:t>
      </w:r>
      <w:r w:rsidR="00E63515">
        <w:t>.202</w:t>
      </w:r>
      <w:r w:rsidR="00483AF7">
        <w:t>2</w:t>
      </w:r>
      <w:r w:rsidR="005C3856" w:rsidRPr="00902366">
        <w:t xml:space="preserve"> № </w:t>
      </w:r>
      <w:r w:rsidR="00483AF7">
        <w:t>1</w:t>
      </w:r>
      <w:r w:rsidR="0032733C">
        <w:t>30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483AF7">
        <w:t>3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483AF7">
        <w:t>3</w:t>
      </w:r>
      <w:r w:rsidR="00073416">
        <w:t xml:space="preserve"> году </w:t>
      </w:r>
      <w:r w:rsidR="00B90BDF">
        <w:t>прошли курсы повышения квалификации по программам «Оказание первой помощи пострадавшим» и «Общие вопросы охраны труда и функционирования системы управления охраной труда»;</w:t>
      </w:r>
    </w:p>
    <w:p w:rsidR="00515A38" w:rsidRDefault="00B90BDF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515A38" w:rsidRPr="00515A38">
        <w:rPr>
          <w:kern w:val="2"/>
        </w:rPr>
        <w:t xml:space="preserve">Глава Администрации </w:t>
      </w:r>
      <w:r w:rsidR="00515A38">
        <w:rPr>
          <w:kern w:val="2"/>
        </w:rPr>
        <w:t>Пролетарского</w:t>
      </w:r>
      <w:r w:rsidR="00515A38"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</w:t>
      </w:r>
      <w:r w:rsidR="00392A29">
        <w:rPr>
          <w:szCs w:val="28"/>
        </w:rPr>
        <w:t>3</w:t>
      </w:r>
      <w:r w:rsidR="00C55390" w:rsidRPr="00C55390">
        <w:rPr>
          <w:szCs w:val="28"/>
        </w:rPr>
        <w:t xml:space="preserve"> – 202</w:t>
      </w:r>
      <w:r w:rsidR="00392A29">
        <w:rPr>
          <w:szCs w:val="28"/>
        </w:rPr>
        <w:t>5</w:t>
      </w:r>
      <w:r w:rsidR="00C55390" w:rsidRPr="00C55390">
        <w:rPr>
          <w:szCs w:val="28"/>
        </w:rPr>
        <w:t xml:space="preserve"> годы приведена в соответствии </w:t>
      </w:r>
      <w:r w:rsidR="00A51D19" w:rsidRPr="00A51D19">
        <w:rPr>
          <w:szCs w:val="28"/>
        </w:rPr>
        <w:t>с протоколом заседания Правительства Ростовской области от 28.07.2022 №32</w:t>
      </w:r>
      <w:r w:rsidR="00C55390" w:rsidRPr="00C55390">
        <w:rPr>
          <w:szCs w:val="28"/>
        </w:rPr>
        <w:t xml:space="preserve">. Для поселений численностью до 3 тыс. чел. </w:t>
      </w:r>
      <w:r w:rsidR="00A51D19">
        <w:rPr>
          <w:szCs w:val="28"/>
        </w:rPr>
        <w:t xml:space="preserve"> норматив составляет 6,5 единиц;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r w:rsidRPr="004F2ECC">
        <w:t xml:space="preserve">- </w:t>
      </w:r>
      <w:r w:rsidR="001F32AD">
        <w:t>н</w:t>
      </w:r>
      <w:r w:rsidR="001F32AD" w:rsidRPr="001F32AD">
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</w:t>
      </w:r>
      <w:r w:rsidR="001F32AD" w:rsidRPr="001F32AD">
        <w:lastRenderedPageBreak/>
        <w:t>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</w:t>
      </w:r>
      <w:r w:rsidR="00A161EA">
        <w:t>2</w:t>
      </w:r>
      <w:r w:rsidR="00C55390">
        <w:t xml:space="preserve">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7F05D3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E80C58">
        <w:rPr>
          <w:color w:val="000000"/>
        </w:rPr>
        <w:t>3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E80C58">
        <w:rPr>
          <w:color w:val="000000"/>
        </w:rPr>
        <w:t>279,9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E80C58">
        <w:rPr>
          <w:color w:val="000000"/>
        </w:rPr>
        <w:t>276,8</w:t>
      </w:r>
      <w:r w:rsidR="00DE5A22">
        <w:rPr>
          <w:color w:val="000000"/>
        </w:rPr>
        <w:t xml:space="preserve"> тыс. рублей или </w:t>
      </w:r>
      <w:r w:rsidR="00E80C58">
        <w:rPr>
          <w:color w:val="000000"/>
        </w:rPr>
        <w:t>98,9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lastRenderedPageBreak/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E80C58">
        <w:rPr>
          <w:color w:val="000000"/>
        </w:rPr>
        <w:t>6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E80C58">
        <w:rPr>
          <w:color w:val="000000"/>
        </w:rPr>
        <w:t>2</w:t>
      </w:r>
      <w:r w:rsidRPr="005069D5">
        <w:rPr>
          <w:color w:val="000000"/>
        </w:rPr>
        <w:t xml:space="preserve"> № </w:t>
      </w:r>
      <w:r w:rsidR="00E80C58">
        <w:rPr>
          <w:color w:val="000000"/>
        </w:rPr>
        <w:t>62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E80C58">
        <w:rPr>
          <w:color w:val="000000"/>
        </w:rPr>
        <w:t>3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E80C58">
        <w:rPr>
          <w:color w:val="000000"/>
        </w:rPr>
        <w:t>4</w:t>
      </w:r>
      <w:r w:rsidRPr="005069D5">
        <w:rPr>
          <w:color w:val="000000"/>
        </w:rPr>
        <w:t xml:space="preserve"> и 202</w:t>
      </w:r>
      <w:r w:rsidR="00E80C58">
        <w:rPr>
          <w:color w:val="000000"/>
        </w:rPr>
        <w:t>5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E80C58">
        <w:rPr>
          <w:color w:val="000000"/>
        </w:rPr>
        <w:t>3</w:t>
      </w:r>
      <w:r>
        <w:rPr>
          <w:color w:val="000000"/>
        </w:rPr>
        <w:t xml:space="preserve"> год предусмотрено </w:t>
      </w:r>
      <w:r w:rsidR="00E80C58">
        <w:rPr>
          <w:color w:val="000000"/>
        </w:rPr>
        <w:t>6,4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E80C58">
        <w:rPr>
          <w:color w:val="000000"/>
        </w:rPr>
        <w:t>3</w:t>
      </w:r>
      <w:r>
        <w:rPr>
          <w:color w:val="000000"/>
        </w:rPr>
        <w:t xml:space="preserve"> год запланировано </w:t>
      </w:r>
      <w:r w:rsidR="00E80C58">
        <w:rPr>
          <w:color w:val="000000"/>
        </w:rPr>
        <w:t>66,8</w:t>
      </w:r>
      <w:r>
        <w:rPr>
          <w:color w:val="000000"/>
        </w:rPr>
        <w:t xml:space="preserve"> тыс. рублей, фактическое освоение составило</w:t>
      </w:r>
      <w:r w:rsidR="00E80C58">
        <w:rPr>
          <w:color w:val="000000"/>
        </w:rPr>
        <w:t xml:space="preserve"> 63,8 тыс. рублей, или</w:t>
      </w:r>
      <w:r>
        <w:rPr>
          <w:color w:val="000000"/>
        </w:rPr>
        <w:t xml:space="preserve"> </w:t>
      </w:r>
      <w:r w:rsidR="00E80C58">
        <w:rPr>
          <w:color w:val="000000"/>
        </w:rPr>
        <w:t>95,5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  <w:r w:rsidR="00E80C58">
        <w:rPr>
          <w:color w:val="000000"/>
        </w:rPr>
        <w:t xml:space="preserve"> На данное мероприятие направлено 50,0 тыс. рублей, фактическое освоение составило 47,0 тыс. рублей, или 94 процента. 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proofErr w:type="gramStart"/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  <w:r w:rsidR="00E80C58" w:rsidRPr="00E80C58">
        <w:t xml:space="preserve"> </w:t>
      </w:r>
      <w:r w:rsidR="00E80C58" w:rsidRPr="00E80C58">
        <w:rPr>
          <w:color w:val="000000"/>
        </w:rPr>
        <w:t xml:space="preserve">»). На данное мероприятие направлено </w:t>
      </w:r>
      <w:r w:rsidR="00E80C58">
        <w:rPr>
          <w:color w:val="000000"/>
        </w:rPr>
        <w:t>16,8</w:t>
      </w:r>
      <w:r w:rsidR="00E80C58" w:rsidRPr="00E80C58">
        <w:rPr>
          <w:color w:val="000000"/>
        </w:rPr>
        <w:t xml:space="preserve"> тыс. рублей, фактическое освоение составило </w:t>
      </w:r>
      <w:r w:rsidR="00E80C58">
        <w:rPr>
          <w:color w:val="000000"/>
        </w:rPr>
        <w:t>100,0</w:t>
      </w:r>
      <w:r w:rsidR="00E80C58" w:rsidRPr="00E80C58">
        <w:rPr>
          <w:color w:val="000000"/>
        </w:rPr>
        <w:t xml:space="preserve"> процент</w:t>
      </w:r>
      <w:r w:rsidR="00E80C58">
        <w:rPr>
          <w:color w:val="000000"/>
        </w:rPr>
        <w:t>ов</w:t>
      </w:r>
      <w:r w:rsidR="00E80C58" w:rsidRPr="00E80C58">
        <w:rPr>
          <w:color w:val="000000"/>
        </w:rPr>
        <w:t>.</w:t>
      </w:r>
      <w:proofErr w:type="gramEnd"/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E80C58">
        <w:t>3</w:t>
      </w:r>
      <w:r>
        <w:t xml:space="preserve"> год предусмотрено</w:t>
      </w:r>
      <w:r w:rsidR="00F5098D">
        <w:t xml:space="preserve"> </w:t>
      </w:r>
      <w:r w:rsidR="00DE5A22">
        <w:t>18</w:t>
      </w:r>
      <w:r w:rsidR="00E80C58">
        <w:t>1</w:t>
      </w:r>
      <w:r w:rsidR="00DE5A22">
        <w:t>,</w:t>
      </w:r>
      <w:r w:rsidR="00E80C58">
        <w:t>7</w:t>
      </w:r>
      <w:r w:rsidR="00F5098D">
        <w:t xml:space="preserve"> тыс. рублей,</w:t>
      </w:r>
      <w:r>
        <w:t xml:space="preserve"> фактически освоено </w:t>
      </w:r>
      <w:r w:rsidR="00E80C58">
        <w:t>181,6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E80C58">
        <w:t>двум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</w:t>
      </w:r>
      <w:r w:rsidR="00E80C58">
        <w:t>3</w:t>
      </w:r>
      <w:r w:rsidRPr="00DE5A22">
        <w:t xml:space="preserve"> год запланировано </w:t>
      </w:r>
      <w:r w:rsidR="00E80C58">
        <w:t>25,0</w:t>
      </w:r>
      <w:r w:rsidRPr="00DE5A22">
        <w:t xml:space="preserve"> тыс. рублей, фактическое освоение составило 100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</w:t>
      </w:r>
      <w:r w:rsidR="00E80C58">
        <w:t>3</w:t>
      </w:r>
      <w:r w:rsidR="00B24AF8">
        <w:t xml:space="preserve"> год </w:t>
      </w:r>
      <w:r w:rsidR="00E80C58">
        <w:t xml:space="preserve">финансирование не </w:t>
      </w:r>
      <w:r w:rsidR="00B24AF8">
        <w:t>запланировано</w:t>
      </w:r>
      <w:r w:rsidR="00E80C58">
        <w:t>.</w:t>
      </w:r>
      <w:r w:rsidR="00B24AF8">
        <w:t xml:space="preserve"> </w:t>
      </w:r>
      <w:r w:rsidR="00E80C58">
        <w:t>Оценка условий труда произведена в 2022 году.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</w:t>
      </w:r>
      <w:r w:rsidR="00E80C58">
        <w:t>3</w:t>
      </w:r>
      <w:r w:rsidR="00B14EAF" w:rsidRPr="00B14EAF">
        <w:t xml:space="preserve"> год предусмотрено</w:t>
      </w:r>
      <w:r w:rsidR="00F5098D">
        <w:t xml:space="preserve"> </w:t>
      </w:r>
      <w:r w:rsidR="00B24AF8">
        <w:t>2</w:t>
      </w:r>
      <w:r w:rsidR="00E80C58">
        <w:t>5</w:t>
      </w:r>
      <w:r w:rsidR="00B24AF8">
        <w:t>,0</w:t>
      </w:r>
      <w:r w:rsidR="00F5098D">
        <w:t xml:space="preserve"> тыс. рублей,</w:t>
      </w:r>
      <w:r w:rsidR="00B14EAF" w:rsidRPr="00B14EAF">
        <w:t xml:space="preserve"> фактическ</w:t>
      </w:r>
      <w:r>
        <w:t>ое</w:t>
      </w:r>
      <w:r w:rsidR="00B14EAF" w:rsidRPr="00B14EAF">
        <w:t xml:space="preserve"> освоен</w:t>
      </w:r>
      <w:r>
        <w:t>ие составило</w:t>
      </w:r>
      <w:r w:rsidR="008E740F">
        <w:t xml:space="preserve"> </w:t>
      </w:r>
      <w:r>
        <w:t>100</w:t>
      </w:r>
      <w:r w:rsidR="00F5098D">
        <w:t xml:space="preserve">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E80C58">
        <w:rPr>
          <w:color w:val="000000"/>
        </w:rPr>
        <w:t>3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E80C58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EB08AD">
        <w:rPr>
          <w:color w:val="000000"/>
          <w:szCs w:val="28"/>
        </w:rPr>
        <w:t>одному</w:t>
      </w:r>
      <w:r w:rsidRPr="00D332A2">
        <w:rPr>
          <w:color w:val="000000"/>
          <w:szCs w:val="28"/>
        </w:rPr>
        <w:t xml:space="preserve"> </w:t>
      </w:r>
      <w:r w:rsidR="00EB08AD">
        <w:rPr>
          <w:color w:val="000000"/>
          <w:szCs w:val="28"/>
        </w:rPr>
        <w:t xml:space="preserve">показателю </w:t>
      </w:r>
      <w:r w:rsidRPr="00D332A2">
        <w:rPr>
          <w:color w:val="000000"/>
          <w:szCs w:val="28"/>
        </w:rPr>
        <w:t>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EB08AD">
        <w:rPr>
          <w:color w:val="000000"/>
          <w:szCs w:val="28"/>
        </w:rPr>
        <w:t>10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EB08AD">
        <w:rPr>
          <w:color w:val="000000"/>
        </w:rPr>
        <w:t>9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EB08AD">
        <w:rPr>
          <w:color w:val="000000"/>
        </w:rPr>
        <w:t>9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33,3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100</w:t>
      </w:r>
      <w:r w:rsidR="00D777E3">
        <w:rPr>
          <w:color w:val="000000"/>
        </w:rPr>
        <w:t xml:space="preserve">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</w:t>
      </w:r>
      <w:r w:rsidR="00EB08AD">
        <w:rPr>
          <w:color w:val="000000"/>
        </w:rPr>
        <w:t>отсутствует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EB08AD">
        <w:t xml:space="preserve">показатели </w:t>
      </w:r>
      <w:r>
        <w:rPr>
          <w:color w:val="000000"/>
        </w:rPr>
        <w:t>отсутству</w:t>
      </w:r>
      <w:r w:rsidR="00EB08AD">
        <w:rPr>
          <w:color w:val="000000"/>
        </w:rPr>
        <w:t>ю</w:t>
      </w:r>
      <w:r>
        <w:rPr>
          <w:color w:val="000000"/>
        </w:rPr>
        <w:t>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EB08AD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711B53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711B53">
        <w:rPr>
          <w:color w:val="000000"/>
        </w:rPr>
        <w:t>8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711B53">
        <w:rPr>
          <w:color w:val="000000"/>
        </w:rPr>
        <w:t>2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711B53">
        <w:rPr>
          <w:color w:val="000000"/>
        </w:rPr>
        <w:t>0,8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711B53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711B53">
        <w:rPr>
          <w:color w:val="000000"/>
        </w:rPr>
        <w:t>3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</w:t>
      </w:r>
      <w:r w:rsidR="00711B53">
        <w:rPr>
          <w:rFonts w:eastAsia="SimSun" w:cs="Mangal"/>
          <w:kern w:val="3"/>
          <w:lang w:eastAsia="zh-CN" w:bidi="hi-IN"/>
        </w:rPr>
        <w:t>2</w:t>
      </w:r>
      <w:r w:rsidR="00DA3039">
        <w:rPr>
          <w:rFonts w:eastAsia="SimSun" w:cs="Mangal"/>
          <w:kern w:val="3"/>
          <w:lang w:eastAsia="zh-CN" w:bidi="hi-IN"/>
        </w:rPr>
        <w:t>/1</w:t>
      </w:r>
      <w:r w:rsidR="00711B53">
        <w:rPr>
          <w:rFonts w:eastAsia="SimSun" w:cs="Mangal"/>
          <w:kern w:val="3"/>
          <w:lang w:eastAsia="zh-CN" w:bidi="hi-IN"/>
        </w:rPr>
        <w:t>2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711B53">
        <w:rPr>
          <w:color w:val="000000"/>
        </w:rPr>
        <w:t>3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E70BD8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E70BD8">
        <w:rPr>
          <w:rFonts w:eastAsia="SimSun" w:cs="Mangal"/>
          <w:kern w:val="3"/>
          <w:lang w:eastAsia="zh-CN" w:bidi="hi-IN"/>
        </w:rPr>
        <w:t>276,8</w:t>
      </w:r>
      <w:r w:rsidR="006E77FE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279,9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E70BD8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E70BD8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E70BD8">
        <w:rPr>
          <w:color w:val="000000"/>
        </w:rPr>
        <w:t>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E70BD8">
        <w:rPr>
          <w:color w:val="000000"/>
        </w:rPr>
        <w:t>8</w:t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E70BD8">
        <w:rPr>
          <w:color w:val="000000"/>
        </w:rPr>
        <w:t>1</w:t>
      </w:r>
      <w:r w:rsidRPr="00E72F14">
        <w:rPr>
          <w:color w:val="000000"/>
        </w:rPr>
        <w:t>*0,2=0,</w:t>
      </w:r>
      <w:r w:rsidR="00E70BD8">
        <w:rPr>
          <w:color w:val="000000"/>
        </w:rPr>
        <w:t>9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E70BD8">
        <w:rPr>
          <w:color w:val="000000"/>
        </w:rPr>
        <w:t>3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E70BD8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E70BD8">
        <w:rPr>
          <w:b/>
        </w:rPr>
        <w:t>3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E70BD8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="007C4EB1"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70BD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70BD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70BD8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70BD8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70BD8">
              <w:rPr>
                <w:sz w:val="21"/>
                <w:szCs w:val="21"/>
              </w:rPr>
              <w:t>3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FF425C" w:rsidRDefault="00FF425C" w:rsidP="00FF425C">
            <w:pPr>
              <w:jc w:val="both"/>
            </w:pPr>
            <w:r>
              <w:t>д</w:t>
            </w:r>
            <w:r w:rsidRPr="00D46C7B">
      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      </w:r>
            <w:r>
              <w:t xml:space="preserve"> муниципальные служащие в 2023 году прошли курсы повышения квалификации по программам «Оказание первой помощи пострадавшим» и «Общие вопросы охраны труда и функционирования системы управления охраной труда»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 xml:space="preserve">Оптимизация штатной </w:t>
            </w:r>
            <w:r w:rsidRPr="007C4EB1">
              <w:rPr>
                <w:sz w:val="22"/>
                <w:szCs w:val="22"/>
              </w:rPr>
              <w:lastRenderedPageBreak/>
              <w:t>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 xml:space="preserve">совершенствование подготовки, </w:t>
            </w:r>
            <w:r w:rsidRPr="00E463C6">
              <w:rPr>
                <w:color w:val="000000"/>
                <w:sz w:val="22"/>
                <w:szCs w:val="22"/>
              </w:rPr>
              <w:lastRenderedPageBreak/>
              <w:t>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E463C6" w:rsidRDefault="00FF425C" w:rsidP="00392A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штатная численность муниципальных 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служащих Администрации Пролетарского сельского поселения на 202</w:t>
            </w:r>
            <w:r w:rsidR="00392A2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– 202</w:t>
            </w:r>
            <w:r w:rsidR="00392A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годы приведена в соответствии с протоколом заседания Правительства Ростовской области от 28.07.2022 №32.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70BD8" w:rsidRPr="00E463C6" w:rsidRDefault="00E70BD8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служащих.</w:t>
            </w:r>
          </w:p>
        </w:tc>
        <w:tc>
          <w:tcPr>
            <w:tcW w:w="2693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70BD8" w:rsidRDefault="00E70BD8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70BD8" w:rsidRPr="00E463C6" w:rsidRDefault="00E70BD8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9A019C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70BD8" w:rsidRPr="002E513B" w:rsidRDefault="00FF425C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sz w:val="22"/>
                <w:szCs w:val="22"/>
              </w:rPr>
              <w:t>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 xml:space="preserve">Официальная публикация нормативно-правовых актов, проектов нормативно - правовых актов и иных материалов </w:t>
            </w:r>
            <w:r w:rsidRPr="000F41F7">
              <w:rPr>
                <w:sz w:val="22"/>
                <w:szCs w:val="22"/>
              </w:rPr>
              <w:lastRenderedPageBreak/>
              <w:t>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 xml:space="preserve">соблюдение норм федерального и областного законодательства, регулирующих вопросы </w:t>
            </w:r>
            <w:r w:rsidRPr="000F41F7">
              <w:rPr>
                <w:color w:val="000000"/>
                <w:sz w:val="22"/>
                <w:szCs w:val="22"/>
              </w:rPr>
              <w:lastRenderedPageBreak/>
              <w:t>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иные информационные ресурсы, подлежащие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публикации размещены в средствах массовой информации (в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70BD8" w:rsidRPr="00E463C6" w:rsidRDefault="00E70BD8" w:rsidP="00392A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E70BD8" w:rsidRPr="00E463C6" w:rsidRDefault="00E70BD8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E70BD8" w:rsidRDefault="00E70BD8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70BD8" w:rsidRPr="00E463C6" w:rsidRDefault="00E70BD8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FD1385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</w:t>
            </w:r>
            <w:r w:rsidRPr="00E97E28">
              <w:rPr>
                <w:color w:val="000000"/>
                <w:sz w:val="22"/>
                <w:szCs w:val="22"/>
              </w:rPr>
              <w:lastRenderedPageBreak/>
              <w:t>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70BD8" w:rsidRPr="00E463C6" w:rsidRDefault="00E70BD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97E28" w:rsidRDefault="00E70BD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70BD8" w:rsidRDefault="00E70BD8" w:rsidP="0039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392A2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70BD8" w:rsidRDefault="00E70BD8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70BD8" w:rsidRPr="00AD77EC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70BD8" w:rsidRPr="00E463C6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70BD8" w:rsidRPr="00B77438" w:rsidRDefault="00E70BD8" w:rsidP="00392A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20</w:t>
            </w:r>
            <w:r w:rsidR="00392A2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 xml:space="preserve">Улучшение условий и охраны труда в Пролетарском сельском 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lastRenderedPageBreak/>
              <w:t>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</w:t>
            </w:r>
            <w:r w:rsidRPr="00A75DC5">
              <w:rPr>
                <w:sz w:val="22"/>
                <w:szCs w:val="22"/>
              </w:rPr>
              <w:lastRenderedPageBreak/>
              <w:t xml:space="preserve">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70BD8" w:rsidRPr="005D7E79" w:rsidRDefault="00E70BD8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70BD8" w:rsidRPr="00E463C6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проведена диспансеризация 6 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E70BD8" w:rsidRPr="00473417" w:rsidRDefault="00E70BD8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70BD8" w:rsidRPr="00E77772" w:rsidRDefault="00E70BD8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70BD8" w:rsidRPr="00E463C6" w:rsidRDefault="00E70BD8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DD38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491CCA" w:rsidRDefault="00E70BD8" w:rsidP="00DD38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417" w:type="dxa"/>
          </w:tcPr>
          <w:p w:rsidR="00E70BD8" w:rsidRPr="008E150F" w:rsidRDefault="00E70BD8" w:rsidP="00DD38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DD38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392A29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392A29">
        <w:rPr>
          <w:b/>
          <w:szCs w:val="28"/>
        </w:rPr>
        <w:t>3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986" w:type="dxa"/>
          </w:tcPr>
          <w:p w:rsidR="0059758F" w:rsidRPr="000F2C12" w:rsidRDefault="00392A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559" w:type="dxa"/>
          </w:tcPr>
          <w:p w:rsidR="0059758F" w:rsidRPr="000F2C12" w:rsidRDefault="00392A29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276,8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279,9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276,8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392A29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59758F" w:rsidRPr="00445B7D" w:rsidRDefault="00392A29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59758F" w:rsidRPr="00445B7D" w:rsidRDefault="00392A29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EA54E9" w:rsidRPr="00EA54E9" w:rsidRDefault="00392A29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EA54E9" w:rsidRPr="00EA54E9" w:rsidRDefault="00392A29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92A29" w:rsidRPr="00445B7D" w:rsidRDefault="00392A29" w:rsidP="00DD380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392A29" w:rsidRPr="00445B7D" w:rsidRDefault="00392A29" w:rsidP="00DD380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392A29" w:rsidRPr="00445B7D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6,4</w:t>
            </w:r>
          </w:p>
        </w:tc>
      </w:tr>
      <w:tr w:rsidR="00392A2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EA54E9" w:rsidRDefault="00392A29" w:rsidP="00DD380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986" w:type="dxa"/>
          </w:tcPr>
          <w:p w:rsidR="00392A29" w:rsidRPr="00EA54E9" w:rsidRDefault="00392A29" w:rsidP="00DD380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  <w:tc>
          <w:tcPr>
            <w:tcW w:w="1559" w:type="dxa"/>
          </w:tcPr>
          <w:p w:rsidR="00392A29" w:rsidRPr="00EA54E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483A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483A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483A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986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559" w:type="dxa"/>
          </w:tcPr>
          <w:p w:rsidR="0059758F" w:rsidRPr="000F2C12" w:rsidRDefault="00392A2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63,8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986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66,8</w:t>
            </w:r>
          </w:p>
        </w:tc>
        <w:tc>
          <w:tcPr>
            <w:tcW w:w="1559" w:type="dxa"/>
          </w:tcPr>
          <w:p w:rsidR="007E4848" w:rsidRPr="007E4848" w:rsidRDefault="00392A29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63,8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986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559" w:type="dxa"/>
          </w:tcPr>
          <w:p w:rsidR="00563C06" w:rsidRPr="00383D74" w:rsidRDefault="00392A2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47,0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986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559" w:type="dxa"/>
          </w:tcPr>
          <w:p w:rsidR="00EA54E9" w:rsidRPr="00EA54E9" w:rsidRDefault="00392A29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563C06" w:rsidRPr="00383D74" w:rsidRDefault="00392A2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16,8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986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  <w:tc>
          <w:tcPr>
            <w:tcW w:w="1559" w:type="dxa"/>
          </w:tcPr>
          <w:p w:rsidR="00EA54E9" w:rsidRPr="00EA54E9" w:rsidRDefault="00392A2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16,8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2E2782" w:rsidRPr="002E2782" w:rsidRDefault="00392A29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2E2782" w:rsidRDefault="00392A29" w:rsidP="00DD38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181,6</w:t>
            </w:r>
          </w:p>
        </w:tc>
      </w:tr>
      <w:tr w:rsidR="00392A29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986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181,7</w:t>
            </w:r>
          </w:p>
        </w:tc>
        <w:tc>
          <w:tcPr>
            <w:tcW w:w="1559" w:type="dxa"/>
          </w:tcPr>
          <w:p w:rsidR="00392A29" w:rsidRPr="00392A29" w:rsidRDefault="00392A29" w:rsidP="00DD3801">
            <w:pPr>
              <w:jc w:val="center"/>
              <w:rPr>
                <w:color w:val="000000"/>
                <w:sz w:val="21"/>
                <w:szCs w:val="21"/>
              </w:rPr>
            </w:pPr>
            <w:r w:rsidRPr="00392A29">
              <w:rPr>
                <w:color w:val="000000"/>
                <w:sz w:val="21"/>
                <w:szCs w:val="21"/>
              </w:rPr>
              <w:t>181,6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EA54E9" w:rsidRPr="00EA54E9" w:rsidRDefault="00F33700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392A29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7E4848" w:rsidRPr="007E4848" w:rsidRDefault="00392A29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7E4848" w:rsidRPr="007E4848" w:rsidRDefault="00392A29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F33700">
              <w:rPr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392A29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F33700" w:rsidRPr="00EA54E9" w:rsidRDefault="00F33700" w:rsidP="00392A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 w:rsidR="00392A29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F33700" w:rsidRPr="007E4848" w:rsidRDefault="00F33700" w:rsidP="00392A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392A2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392A29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8C3C3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8C3C3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E80C58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C26355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3C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C26355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3C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C3C3E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95D84">
              <w:rPr>
                <w:color w:val="000000"/>
                <w:sz w:val="22"/>
                <w:szCs w:val="22"/>
              </w:rPr>
              <w:t xml:space="preserve"> связи с</w:t>
            </w:r>
            <w:r w:rsidR="008C3C3E">
              <w:rPr>
                <w:color w:val="000000"/>
                <w:sz w:val="22"/>
                <w:szCs w:val="22"/>
              </w:rPr>
              <w:t xml:space="preserve"> отсутствием</w:t>
            </w:r>
            <w:r w:rsidRPr="00995D84">
              <w:rPr>
                <w:color w:val="000000"/>
                <w:sz w:val="22"/>
                <w:szCs w:val="22"/>
              </w:rPr>
              <w:t xml:space="preserve"> потребност</w:t>
            </w:r>
            <w:r w:rsidR="008C3C3E">
              <w:rPr>
                <w:color w:val="000000"/>
                <w:sz w:val="22"/>
                <w:szCs w:val="22"/>
              </w:rPr>
              <w:t xml:space="preserve">и </w:t>
            </w:r>
            <w:r w:rsidRPr="00995D84">
              <w:rPr>
                <w:color w:val="000000"/>
                <w:sz w:val="22"/>
                <w:szCs w:val="22"/>
              </w:rPr>
              <w:t>муниципальны</w:t>
            </w:r>
            <w:r w:rsidR="008C3C3E">
              <w:rPr>
                <w:color w:val="000000"/>
                <w:sz w:val="22"/>
                <w:szCs w:val="22"/>
              </w:rPr>
              <w:t>ми</w:t>
            </w:r>
            <w:r w:rsidRPr="00995D84">
              <w:rPr>
                <w:color w:val="000000"/>
                <w:sz w:val="22"/>
                <w:szCs w:val="22"/>
              </w:rPr>
              <w:t xml:space="preserve"> служащи</w:t>
            </w:r>
            <w:r w:rsidR="008C3C3E">
              <w:rPr>
                <w:color w:val="000000"/>
                <w:sz w:val="22"/>
                <w:szCs w:val="22"/>
              </w:rPr>
              <w:t>ми</w:t>
            </w:r>
            <w:r w:rsidRPr="00995D84">
              <w:rPr>
                <w:color w:val="000000"/>
                <w:sz w:val="22"/>
                <w:szCs w:val="22"/>
              </w:rPr>
              <w:t xml:space="preserve"> </w:t>
            </w:r>
            <w:r w:rsidR="008C3C3E">
              <w:rPr>
                <w:color w:val="000000"/>
                <w:sz w:val="22"/>
                <w:szCs w:val="22"/>
              </w:rPr>
              <w:t xml:space="preserve">в </w:t>
            </w:r>
            <w:r w:rsidRPr="00995D84">
              <w:rPr>
                <w:color w:val="000000"/>
                <w:sz w:val="22"/>
                <w:szCs w:val="22"/>
              </w:rPr>
              <w:t>краткосрочны</w:t>
            </w:r>
            <w:r w:rsidR="008C3C3E">
              <w:rPr>
                <w:color w:val="000000"/>
                <w:sz w:val="22"/>
                <w:szCs w:val="22"/>
              </w:rPr>
              <w:t>х</w:t>
            </w:r>
            <w:r w:rsidRPr="00995D84">
              <w:rPr>
                <w:color w:val="000000"/>
                <w:sz w:val="22"/>
                <w:szCs w:val="22"/>
              </w:rPr>
              <w:t xml:space="preserve"> курс</w:t>
            </w:r>
            <w:r w:rsidR="008C3C3E">
              <w:rPr>
                <w:color w:val="000000"/>
                <w:sz w:val="22"/>
                <w:szCs w:val="22"/>
              </w:rPr>
              <w:t>ах</w:t>
            </w:r>
            <w:r w:rsidRPr="00995D84">
              <w:rPr>
                <w:color w:val="000000"/>
                <w:sz w:val="22"/>
                <w:szCs w:val="22"/>
              </w:rPr>
              <w:t xml:space="preserve"> повышения квалификации</w:t>
            </w:r>
            <w:r>
              <w:rPr>
                <w:color w:val="000000"/>
                <w:sz w:val="22"/>
                <w:szCs w:val="22"/>
              </w:rPr>
              <w:t xml:space="preserve"> и обучени</w:t>
            </w:r>
            <w:r w:rsidR="008C3C3E">
              <w:rPr>
                <w:color w:val="000000"/>
                <w:sz w:val="22"/>
                <w:szCs w:val="22"/>
              </w:rPr>
              <w:t>я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отсутствуют муниципальные служащие возрасте до 30 лет </w:t>
            </w:r>
          </w:p>
        </w:tc>
      </w:tr>
      <w:tr w:rsidR="00E80C58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81124B" w:rsidP="008112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576673" w:rsidRDefault="00E80C58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E80C58" w:rsidRPr="0007500E" w:rsidRDefault="00E80C58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Default="00E80C58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штатном расписании 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Default="00E80C58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81124B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дополнительного профессионального образования не требовалось</w:t>
            </w:r>
          </w:p>
        </w:tc>
      </w:tr>
      <w:tr w:rsidR="00E80C58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6F4E9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6F4E94" w:rsidP="009C33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0C58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E80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58" w:rsidRPr="0007500E" w:rsidRDefault="00E80C5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58" w:rsidRPr="0007500E" w:rsidRDefault="00E80C58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lastRenderedPageBreak/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8C3C3E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8C3C3E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BE" w:rsidRDefault="00C818BE">
      <w:r>
        <w:separator/>
      </w:r>
    </w:p>
  </w:endnote>
  <w:endnote w:type="continuationSeparator" w:id="0">
    <w:p w:rsidR="00C818BE" w:rsidRDefault="00C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Pr="00E463C6" w:rsidRDefault="00711B53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CB7D8D">
      <w:rPr>
        <w:noProof/>
        <w:sz w:val="20"/>
        <w:szCs w:val="20"/>
      </w:rPr>
      <w:t>18</w:t>
    </w:r>
    <w:r w:rsidRPr="00E463C6">
      <w:rPr>
        <w:sz w:val="20"/>
        <w:szCs w:val="20"/>
      </w:rPr>
      <w:fldChar w:fldCharType="end"/>
    </w:r>
  </w:p>
  <w:p w:rsidR="00711B53" w:rsidRDefault="00711B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Pr="001D269D" w:rsidRDefault="00711B53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CB7D8D">
      <w:rPr>
        <w:noProof/>
        <w:sz w:val="20"/>
        <w:szCs w:val="20"/>
      </w:rPr>
      <w:t>17</w:t>
    </w:r>
    <w:r w:rsidRPr="001D269D">
      <w:rPr>
        <w:sz w:val="20"/>
        <w:szCs w:val="20"/>
      </w:rPr>
      <w:fldChar w:fldCharType="end"/>
    </w:r>
  </w:p>
  <w:p w:rsidR="00711B53" w:rsidRDefault="00711B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1B53" w:rsidRDefault="00711B5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B7D8D">
      <w:rPr>
        <w:noProof/>
      </w:rPr>
      <w:t>19</w:t>
    </w:r>
    <w:r>
      <w:fldChar w:fldCharType="end"/>
    </w:r>
  </w:p>
  <w:p w:rsidR="00711B53" w:rsidRDefault="00711B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BE" w:rsidRDefault="00C818BE">
      <w:r>
        <w:separator/>
      </w:r>
    </w:p>
  </w:footnote>
  <w:footnote w:type="continuationSeparator" w:id="0">
    <w:p w:rsidR="00C818BE" w:rsidRDefault="00C8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1B53" w:rsidRDefault="00711B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53" w:rsidRDefault="00711B5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676E6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2CC2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A29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3AF7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E6F78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0EC5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4E94"/>
    <w:rsid w:val="006F7A42"/>
    <w:rsid w:val="00700535"/>
    <w:rsid w:val="007012F2"/>
    <w:rsid w:val="007039DD"/>
    <w:rsid w:val="00706650"/>
    <w:rsid w:val="00706CA0"/>
    <w:rsid w:val="00707F1F"/>
    <w:rsid w:val="007110D5"/>
    <w:rsid w:val="00711B53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324"/>
    <w:rsid w:val="007E7D4C"/>
    <w:rsid w:val="007F0598"/>
    <w:rsid w:val="007F05D3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24B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3C3E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61EA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1D19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0BDF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251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18BE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B7D8D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0BD8"/>
    <w:rsid w:val="00E72A1D"/>
    <w:rsid w:val="00E72F14"/>
    <w:rsid w:val="00E742BE"/>
    <w:rsid w:val="00E75627"/>
    <w:rsid w:val="00E7635D"/>
    <w:rsid w:val="00E76906"/>
    <w:rsid w:val="00E8039E"/>
    <w:rsid w:val="00E80713"/>
    <w:rsid w:val="00E80C58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8AD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07D91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2998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D41D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25C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46F8-8C88-4519-9ECF-BC42913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6027</Words>
  <Characters>34355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53</cp:revision>
  <cp:lastPrinted>2024-03-27T05:32:00Z</cp:lastPrinted>
  <dcterms:created xsi:type="dcterms:W3CDTF">2021-03-24T06:16:00Z</dcterms:created>
  <dcterms:modified xsi:type="dcterms:W3CDTF">2024-03-27T05:32:00Z</dcterms:modified>
</cp:coreProperties>
</file>